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65A" w:rsidRPr="005E0FE9" w:rsidRDefault="00A7265A" w:rsidP="00A7265A">
      <w:pPr>
        <w:spacing w:line="360" w:lineRule="auto"/>
        <w:rPr>
          <w:rFonts w:asciiTheme="minorEastAsia" w:hAnsiTheme="minorEastAsia"/>
          <w:b/>
          <w:szCs w:val="21"/>
        </w:rPr>
      </w:pPr>
      <w:bookmarkStart w:id="0" w:name="OLE_LINK8"/>
      <w:bookmarkStart w:id="1" w:name="OLE_LINK7"/>
      <w:r w:rsidRPr="000A02F2">
        <w:rPr>
          <w:rFonts w:asciiTheme="minorEastAsia" w:hAnsiTheme="minorEastAsia" w:hint="eastAsia"/>
          <w:b/>
          <w:szCs w:val="21"/>
        </w:rPr>
        <w:t>产品登记编码：</w:t>
      </w:r>
      <w:r w:rsidRPr="00A7265A">
        <w:rPr>
          <w:rFonts w:asciiTheme="minorEastAsia" w:hAnsiTheme="minorEastAsia"/>
          <w:b/>
          <w:szCs w:val="21"/>
        </w:rPr>
        <w:t>C1030813001158</w:t>
      </w:r>
    </w:p>
    <w:p w:rsidR="008E2B02" w:rsidRDefault="008E2B02" w:rsidP="008E2B02">
      <w:pPr>
        <w:adjustRightInd w:val="0"/>
        <w:snapToGrid w:val="0"/>
        <w:spacing w:line="30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招商银行日益月鑫理财计划A款</w:t>
      </w:r>
    </w:p>
    <w:p w:rsidR="008E2B02" w:rsidRDefault="008E2B02" w:rsidP="008E2B02">
      <w:pPr>
        <w:adjustRightInd w:val="0"/>
        <w:snapToGrid w:val="0"/>
        <w:spacing w:line="30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风险揭示书</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尊敬的客户：</w:t>
      </w:r>
    </w:p>
    <w:p w:rsidR="008E2B02" w:rsidRDefault="008E2B02" w:rsidP="008E2B02">
      <w:pPr>
        <w:adjustRightInd w:val="0"/>
        <w:snapToGrid w:val="0"/>
        <w:spacing w:line="30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由于理财资金管理运用过程中，可能会面临多种风险因素，因此，根据中国银行业监督管理委员会相关监管规定的要求，在您选择购买本理财计划前，请仔细阅读以下重要内容：</w:t>
      </w:r>
    </w:p>
    <w:p w:rsidR="008E2B02" w:rsidRDefault="008E2B02" w:rsidP="008E2B02">
      <w:pPr>
        <w:adjustRightInd w:val="0"/>
        <w:snapToGrid w:val="0"/>
        <w:spacing w:line="300" w:lineRule="auto"/>
        <w:ind w:firstLineChars="200" w:firstLine="442"/>
        <w:rPr>
          <w:rFonts w:asciiTheme="minorEastAsia" w:eastAsiaTheme="minorEastAsia" w:hAnsiTheme="minorEastAsia"/>
          <w:b/>
          <w:sz w:val="22"/>
          <w:szCs w:val="22"/>
        </w:rPr>
      </w:pPr>
      <w:r>
        <w:rPr>
          <w:rFonts w:asciiTheme="minorEastAsia" w:eastAsiaTheme="minorEastAsia" w:hAnsiTheme="minorEastAsia" w:hint="eastAsia"/>
          <w:b/>
          <w:sz w:val="22"/>
          <w:szCs w:val="22"/>
        </w:rPr>
        <w:t>理财非存款、产品有风险、投资须谨慎，投资者应充分认识以下风险：</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bookmarkStart w:id="2" w:name="OLE_LINK17"/>
      <w:bookmarkStart w:id="3" w:name="OLE_LINK16"/>
      <w:r>
        <w:rPr>
          <w:rFonts w:asciiTheme="minorEastAsia" w:eastAsiaTheme="minorEastAsia" w:hAnsiTheme="minorEastAsia" w:hint="eastAsia"/>
          <w:b/>
          <w:sz w:val="22"/>
          <w:szCs w:val="22"/>
        </w:rPr>
        <w:t>本金及理财收益风险：</w:t>
      </w:r>
      <w:r>
        <w:rPr>
          <w:rFonts w:asciiTheme="minorEastAsia" w:eastAsiaTheme="minorEastAsia" w:hAnsiTheme="minorEastAsia" w:hint="eastAsia"/>
          <w:b/>
          <w:bCs/>
          <w:color w:val="000000"/>
          <w:sz w:val="22"/>
          <w:szCs w:val="22"/>
          <w:lang w:val="zh-CN"/>
        </w:rPr>
        <w:t>本理财计划不保障本金且不保证理财收益。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r>
        <w:rPr>
          <w:rFonts w:asciiTheme="minorEastAsia" w:eastAsiaTheme="minorEastAsia" w:hAnsiTheme="minorEastAsia" w:hint="eastAsia"/>
          <w:b/>
          <w:bCs/>
          <w:color w:val="000000"/>
          <w:sz w:val="22"/>
          <w:szCs w:val="22"/>
        </w:rPr>
        <w:t>管理人风险：</w:t>
      </w:r>
      <w:r>
        <w:rPr>
          <w:rFonts w:asciiTheme="minorEastAsia" w:eastAsiaTheme="minorEastAsia" w:hAnsiTheme="minorEastAsia" w:hint="eastAsia"/>
          <w:b/>
          <w:kern w:val="0"/>
          <w:sz w:val="22"/>
          <w:szCs w:val="22"/>
        </w:rPr>
        <w:t>因管理人（包括本理财计划的投资管理人、所投资的信托计划/资管计划的受托人（如有）、相关投资顾问（如有）等，下同）受经验、技能等因素的限制，可能导致本理财计</w:t>
      </w:r>
      <w:r>
        <w:rPr>
          <w:rFonts w:asciiTheme="minorEastAsia" w:eastAsiaTheme="minorEastAsia" w:hAnsiTheme="minorEastAsia" w:hint="eastAsia"/>
          <w:b/>
          <w:bCs/>
          <w:color w:val="000000"/>
          <w:sz w:val="22"/>
          <w:szCs w:val="22"/>
          <w:lang w:val="zh-CN"/>
        </w:rPr>
        <w:t>划项下的理财资金遭受损失。如因信托计划/资管计划的受托人和相关投资顾问违背相关协议约定、处理事务不当，可能导致本理财计划项下的理财资金遭受损失。</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政策风险：</w:t>
      </w:r>
      <w:r>
        <w:rPr>
          <w:rFonts w:asciiTheme="minorEastAsia" w:eastAsiaTheme="minorEastAsia" w:hAnsiTheme="minorEastAsia" w:hint="eastAsia"/>
          <w:sz w:val="22"/>
          <w:szCs w:val="22"/>
        </w:rPr>
        <w:t>本理财计划是针对当前的相关法规和政策设计的。如国家宏观政策以及市场相关法规政策发生变化，可能影响理财计划的受理、投资、偿还等的正常进行，甚至导致本理财计划收益降低甚至本金损失。</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延期风险：</w:t>
      </w:r>
      <w:r>
        <w:rPr>
          <w:rFonts w:asciiTheme="minorEastAsia" w:eastAsiaTheme="minorEastAsia" w:hAnsiTheme="minorEastAsia" w:hint="eastAsia"/>
          <w:sz w:val="22"/>
          <w:szCs w:val="22"/>
        </w:rPr>
        <w:t>如因理财计划项下资产组合变现等原因造成理财计划不能按时还本付息，理财持有期限将相应延长。</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b/>
          <w:sz w:val="22"/>
          <w:szCs w:val="22"/>
        </w:rPr>
      </w:pPr>
      <w:r>
        <w:rPr>
          <w:rFonts w:asciiTheme="minorEastAsia" w:eastAsiaTheme="minorEastAsia" w:hAnsiTheme="minorEastAsia" w:hint="eastAsia"/>
          <w:b/>
          <w:sz w:val="22"/>
          <w:szCs w:val="22"/>
        </w:rPr>
        <w:t>流动性风险：本理财计划存续期间，投资者只能在本产品说明书规定的时间内办理认购，理财计划成立后投资者不享有提前赎回权利。</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再投资风险：</w:t>
      </w:r>
      <w:r>
        <w:rPr>
          <w:rFonts w:asciiTheme="minorEastAsia" w:eastAsiaTheme="minorEastAsia" w:hAnsiTheme="minorEastAsia" w:hint="eastAsia"/>
          <w:sz w:val="22"/>
          <w:szCs w:val="22"/>
        </w:rPr>
        <w:t>由于招商银行在特定情况下提前终止理财，则本理财计划的实际理财持有期限可能小于预定期限。如果理财计划提前终止，则投资者无法实现期初预期的全部收益。</w:t>
      </w:r>
    </w:p>
    <w:p w:rsidR="008E2B02" w:rsidRDefault="008E2B02" w:rsidP="008E2B02">
      <w:pPr>
        <w:pStyle w:val="aa"/>
        <w:numPr>
          <w:ilvl w:val="0"/>
          <w:numId w:val="1"/>
        </w:numPr>
        <w:adjustRightInd w:val="0"/>
        <w:snapToGrid w:val="0"/>
        <w:spacing w:line="300" w:lineRule="auto"/>
        <w:ind w:left="0" w:firstLineChars="0" w:firstLine="0"/>
        <w:jc w:val="left"/>
        <w:rPr>
          <w:rFonts w:asciiTheme="minorEastAsia" w:eastAsiaTheme="minorEastAsia" w:hAnsiTheme="minorEastAsia"/>
          <w:b/>
          <w:bCs/>
          <w:color w:val="000000"/>
          <w:kern w:val="0"/>
          <w:sz w:val="22"/>
          <w:szCs w:val="22"/>
          <w:lang w:val="zh-CN"/>
        </w:rPr>
      </w:pPr>
      <w:r>
        <w:rPr>
          <w:rFonts w:asciiTheme="minorEastAsia" w:eastAsiaTheme="minorEastAsia" w:hAnsiTheme="minorEastAsia" w:hint="eastAsia"/>
          <w:b/>
          <w:sz w:val="22"/>
          <w:szCs w:val="22"/>
        </w:rPr>
        <w:t>信息传递风险：</w:t>
      </w:r>
      <w:r>
        <w:rPr>
          <w:rFonts w:asciiTheme="minorEastAsia" w:eastAsiaTheme="minorEastAsia" w:hAnsiTheme="minorEastAsia" w:hint="eastAsia"/>
          <w:b/>
          <w:bCs/>
          <w:color w:val="000000"/>
          <w:kern w:val="0"/>
          <w:sz w:val="22"/>
          <w:szCs w:val="22"/>
          <w:lang w:val="zh-CN"/>
        </w:rPr>
        <w:t>本理财计划存续期内提供估值，不提供账单，投资者应根据本理财计划说明书所载明的公告方式及时查询本理财计划的相关信息。</w:t>
      </w:r>
      <w:r>
        <w:rPr>
          <w:rFonts w:asciiTheme="minorEastAsia" w:eastAsiaTheme="minorEastAsia" w:hAnsiTheme="minorEastAsia" w:hint="eastAsia"/>
          <w:bCs/>
          <w:color w:val="000000"/>
          <w:kern w:val="0"/>
          <w:sz w:val="22"/>
          <w:szCs w:val="22"/>
          <w:lang w:val="zh-CN"/>
        </w:rPr>
        <w:t>招商银行按照本产品说明书有关“信息公告”的约定，发布理财计划的信息公告。投资者应根据“信息公告”的约定及时登录招商银行一网通网站或者致电招商银行全国统一客户服务热线（95555）、各营业网点</w:t>
      </w:r>
      <w:r>
        <w:rPr>
          <w:rFonts w:asciiTheme="minorEastAsia" w:eastAsiaTheme="minorEastAsia" w:hAnsiTheme="minorEastAsia" w:hint="eastAsia"/>
          <w:sz w:val="22"/>
          <w:szCs w:val="22"/>
        </w:rPr>
        <w:t>或合作销售机构开户网点查询。</w:t>
      </w:r>
      <w:r>
        <w:rPr>
          <w:rFonts w:asciiTheme="minorEastAsia" w:eastAsiaTheme="minorEastAsia" w:hAnsiTheme="minorEastAsia" w:hint="eastAsia"/>
          <w:b/>
          <w:sz w:val="22"/>
          <w:szCs w:val="22"/>
        </w:rPr>
        <w:t>如果投资者未及时查询，或由于通讯故障、系统故障以及其他不可抗力</w:t>
      </w:r>
      <w:r>
        <w:rPr>
          <w:rFonts w:asciiTheme="minorEastAsia" w:eastAsiaTheme="minorEastAsia" w:hAnsiTheme="minorEastAsia" w:hint="eastAsia"/>
          <w:b/>
          <w:bCs/>
          <w:color w:val="000000"/>
          <w:kern w:val="0"/>
          <w:sz w:val="22"/>
          <w:szCs w:val="22"/>
          <w:lang w:val="zh-CN"/>
        </w:rPr>
        <w:t>等因素的影响使得投资者无法及时了解理财计划信息，并由此影响投资者的投资决策，并可能导致投资者丧失提前退出及再投资的机会，因此而产生的责任和风险由投资者自行承担。另外，投资者预留在招商银行的有效联系方式变更的，应及时通知招商银行。如投资者未及时告知招商银行联系方式变更的，或因投资者其他原因导致招商银行将可能在需要联系投资者时无法及时联系上，并可能会由此影响投资者的投资决策，由此而产生的责任和风险由投资者自行承担。</w:t>
      </w:r>
    </w:p>
    <w:p w:rsidR="008E2B02"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b/>
          <w:sz w:val="22"/>
          <w:szCs w:val="22"/>
        </w:rPr>
      </w:pPr>
      <w:r>
        <w:rPr>
          <w:rFonts w:asciiTheme="minorEastAsia" w:eastAsiaTheme="minorEastAsia" w:hAnsiTheme="minorEastAsia" w:hint="eastAsia"/>
          <w:b/>
          <w:sz w:val="22"/>
          <w:szCs w:val="22"/>
        </w:rPr>
        <w:t>理财计划不成立风险：</w:t>
      </w:r>
      <w:r>
        <w:rPr>
          <w:rFonts w:asciiTheme="minorEastAsia" w:eastAsiaTheme="minorEastAsia" w:hAnsiTheme="minorEastAsia" w:hint="eastAsia"/>
          <w:b/>
          <w:bCs/>
          <w:color w:val="000000"/>
          <w:kern w:val="0"/>
          <w:sz w:val="22"/>
          <w:szCs w:val="22"/>
          <w:lang w:val="zh-CN"/>
        </w:rPr>
        <w:t>如自本理财计划开始认购至理财计划原定成立日之前，理财</w:t>
      </w:r>
      <w:r>
        <w:rPr>
          <w:rFonts w:asciiTheme="minorEastAsia" w:eastAsiaTheme="minorEastAsia" w:hAnsiTheme="minorEastAsia" w:hint="eastAsia"/>
          <w:b/>
          <w:bCs/>
          <w:color w:val="000000"/>
          <w:kern w:val="0"/>
          <w:sz w:val="22"/>
          <w:szCs w:val="22"/>
          <w:lang w:val="zh-CN"/>
        </w:rPr>
        <w:lastRenderedPageBreak/>
        <w:t>计划认购总金额未达到规模下限（如有约定），或国家宏观政策以及市场相关法规政策发生变化，</w:t>
      </w:r>
      <w:r>
        <w:rPr>
          <w:rFonts w:asciiTheme="minorEastAsia" w:eastAsiaTheme="minorEastAsia" w:hAnsiTheme="minorEastAsia" w:hint="eastAsia"/>
          <w:b/>
          <w:sz w:val="22"/>
          <w:szCs w:val="22"/>
        </w:rPr>
        <w:t>或市场发生剧烈波动，或发生其他经招商银行合理判断难以按照本产品说明书规定向客户提供本理财计划的情形，招商银行有权宣布本理财计划不成立。</w:t>
      </w:r>
    </w:p>
    <w:p w:rsidR="008E2B02" w:rsidRPr="0055663E" w:rsidRDefault="008E2B02"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不可抗力风险：</w:t>
      </w:r>
      <w:r>
        <w:rPr>
          <w:rFonts w:asciiTheme="minorEastAsia" w:eastAsiaTheme="minorEastAsia" w:hAnsiTheme="minorEastAsia" w:hint="eastAsia"/>
          <w:sz w:val="22"/>
          <w:szCs w:val="22"/>
        </w:rPr>
        <w:t>指由于自然灾害、战争等不可抗力因素的出现，将严重影响金融市场的正常运行，可能影响理财计划的受理、投资、偿还等的正常进行，甚至导致本理财计划收益降低甚至本金损失。</w:t>
      </w:r>
      <w:r>
        <w:rPr>
          <w:rFonts w:asciiTheme="minorEastAsia" w:eastAsiaTheme="minorEastAsia" w:hAnsiTheme="minorEastAsia" w:hint="eastAsia"/>
          <w:b/>
          <w:sz w:val="22"/>
          <w:szCs w:val="22"/>
        </w:rPr>
        <w:t>对于由不可抗力风险所导致的任何损失，由投资者自行承担，招商银行对此不承担任何责任。</w:t>
      </w:r>
    </w:p>
    <w:p w:rsidR="0055663E" w:rsidRDefault="00A7265A" w:rsidP="008E2B02">
      <w:pPr>
        <w:pStyle w:val="aa"/>
        <w:numPr>
          <w:ilvl w:val="0"/>
          <w:numId w:val="1"/>
        </w:numPr>
        <w:adjustRightInd w:val="0"/>
        <w:snapToGrid w:val="0"/>
        <w:spacing w:line="300" w:lineRule="auto"/>
        <w:ind w:left="0" w:firstLineChars="0" w:firstLine="0"/>
        <w:rPr>
          <w:rFonts w:asciiTheme="minorEastAsia" w:eastAsiaTheme="minorEastAsia" w:hAnsiTheme="minorEastAsia"/>
          <w:sz w:val="22"/>
          <w:szCs w:val="22"/>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p>
    <w:bookmarkEnd w:id="2"/>
    <w:bookmarkEnd w:id="3"/>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理财计划产品类型为非保本浮动收益类，根据客户不同的流动性需求，提供不同的理财持有期限，目前提供的理财持有期限为7天、14天和21天，产品风险评级为R2（稳健型），个人投资者购买本理财计划，风险承受能力须在A2（稳健型）及以上。对于个人投资者，如影响您风险承受能力的因素发生变化，请及时告知招商银行，并在购买本理财计划前应重新进行风险承受能力评估。</w:t>
      </w:r>
    </w:p>
    <w:p w:rsidR="008E2B02" w:rsidRDefault="008E2B02" w:rsidP="008E2B02">
      <w:pPr>
        <w:adjustRightInd w:val="0"/>
        <w:snapToGrid w:val="0"/>
        <w:spacing w:line="300" w:lineRule="auto"/>
        <w:ind w:firstLineChars="200" w:firstLine="442"/>
        <w:rPr>
          <w:rFonts w:asciiTheme="minorEastAsia" w:eastAsiaTheme="minorEastAsia" w:hAnsiTheme="minorEastAsia"/>
          <w:b/>
          <w:color w:val="000000"/>
          <w:sz w:val="22"/>
          <w:szCs w:val="22"/>
          <w:lang w:val="zh-CN"/>
        </w:rPr>
      </w:pPr>
      <w:r>
        <w:rPr>
          <w:rFonts w:asciiTheme="minorEastAsia" w:eastAsiaTheme="minorEastAsia" w:hAnsiTheme="minorEastAsia" w:hint="eastAsia"/>
          <w:b/>
          <w:color w:val="000000"/>
          <w:sz w:val="22"/>
          <w:szCs w:val="22"/>
          <w:lang w:val="zh-CN"/>
        </w:rPr>
        <w:t>本理财计划不保障本金且不保证理财收益，投资者的本金可能会因市场变动而蒙受重大损失，在市场最不利的情况下投资者将可能损失全部本金，投资者应充分认识投资风险，谨慎投资。</w:t>
      </w:r>
    </w:p>
    <w:p w:rsidR="008E2B02" w:rsidRDefault="008E2B02" w:rsidP="008E2B02">
      <w:pPr>
        <w:kinsoku w:val="0"/>
        <w:overflowPunct w:val="0"/>
        <w:autoSpaceDE w:val="0"/>
        <w:autoSpaceDN w:val="0"/>
        <w:adjustRightInd w:val="0"/>
        <w:snapToGrid w:val="0"/>
        <w:spacing w:line="300" w:lineRule="auto"/>
        <w:ind w:firstLineChars="200" w:firstLine="440"/>
        <w:rPr>
          <w:rFonts w:asciiTheme="minorEastAsia" w:eastAsiaTheme="minorEastAsia" w:hAnsiTheme="minorEastAsia"/>
          <w:color w:val="000000"/>
          <w:sz w:val="22"/>
          <w:szCs w:val="22"/>
          <w:lang w:val="zh-CN"/>
        </w:rPr>
      </w:pPr>
      <w:r>
        <w:rPr>
          <w:rFonts w:asciiTheme="minorEastAsia" w:eastAsiaTheme="minorEastAsia" w:hAnsiTheme="minorEastAsia" w:hint="eastAsia"/>
          <w:color w:val="000000"/>
          <w:sz w:val="22"/>
          <w:szCs w:val="22"/>
          <w:lang w:val="zh-CN"/>
        </w:rPr>
        <w:t>示例：若投资者购买本理财计划，理财计划本金为100000元，在资产组合项下资产全部亏损的最不利情况下，理财计划100000元本金将全部损失。</w:t>
      </w:r>
    </w:p>
    <w:p w:rsidR="008E2B02" w:rsidRDefault="008E2B02" w:rsidP="008E2B02">
      <w:pPr>
        <w:kinsoku w:val="0"/>
        <w:overflowPunct w:val="0"/>
        <w:autoSpaceDE w:val="0"/>
        <w:autoSpaceDN w:val="0"/>
        <w:adjustRightInd w:val="0"/>
        <w:snapToGrid w:val="0"/>
        <w:spacing w:line="300" w:lineRule="auto"/>
        <w:ind w:firstLineChars="200" w:firstLine="442"/>
        <w:jc w:val="left"/>
        <w:rPr>
          <w:rFonts w:asciiTheme="minorEastAsia" w:eastAsiaTheme="minorEastAsia" w:hAnsiTheme="minorEastAsia"/>
          <w:b/>
          <w:sz w:val="22"/>
          <w:szCs w:val="22"/>
          <w:lang w:val="zh-CN"/>
        </w:rPr>
      </w:pPr>
      <w:r>
        <w:rPr>
          <w:rFonts w:asciiTheme="minorEastAsia" w:eastAsiaTheme="minorEastAsia" w:hAnsiTheme="minorEastAsia" w:hint="eastAsia"/>
          <w:b/>
          <w:color w:val="000000"/>
          <w:sz w:val="22"/>
          <w:szCs w:val="22"/>
          <w:lang w:val="zh-CN"/>
        </w:rPr>
        <w:t>在您签署本理财计划的销售协议书前，应当仔细阅读本风险揭示书、本理财计划产品说明书及客户权益须知的全部内容，同时向我行了解本理财计划的其他相关信息，并自己独立作出是否认购本理财计划的决定。您将资金委托给我行运作是您真实的意思表示。</w:t>
      </w:r>
      <w:r>
        <w:rPr>
          <w:rFonts w:asciiTheme="minorEastAsia" w:eastAsiaTheme="minorEastAsia" w:hAnsiTheme="minorEastAsia" w:hint="eastAsia"/>
          <w:b/>
          <w:sz w:val="22"/>
          <w:szCs w:val="22"/>
          <w:lang w:val="zh-CN"/>
        </w:rPr>
        <w:t>本风险揭示书、理财计划产品说明书、销售协议书和客户权益须知等将共同构成贵我双方理财合同的有效组成部分，具有同等法律效力。</w:t>
      </w:r>
    </w:p>
    <w:p w:rsidR="008E2B02" w:rsidRDefault="008E2B02" w:rsidP="008E2B02">
      <w:pPr>
        <w:kinsoku w:val="0"/>
        <w:overflowPunct w:val="0"/>
        <w:autoSpaceDE w:val="0"/>
        <w:autoSpaceDN w:val="0"/>
        <w:adjustRightInd w:val="0"/>
        <w:snapToGrid w:val="0"/>
        <w:spacing w:line="300" w:lineRule="auto"/>
        <w:jc w:val="right"/>
        <w:rPr>
          <w:rFonts w:asciiTheme="minorEastAsia" w:eastAsiaTheme="minorEastAsia" w:hAnsiTheme="minorEastAsia"/>
          <w:sz w:val="22"/>
          <w:szCs w:val="22"/>
          <w:lang w:val="zh-CN"/>
        </w:rPr>
      </w:pPr>
      <w:r>
        <w:rPr>
          <w:rFonts w:asciiTheme="minorEastAsia" w:eastAsiaTheme="minorEastAsia" w:hAnsiTheme="minorEastAsia" w:hint="eastAsia"/>
          <w:sz w:val="22"/>
          <w:szCs w:val="22"/>
          <w:lang w:val="zh-CN"/>
        </w:rPr>
        <w:t>风险揭示方： 招商银行股份有限公司</w:t>
      </w:r>
    </w:p>
    <w:p w:rsidR="008E2B02" w:rsidRDefault="008E2B02" w:rsidP="008E2B02">
      <w:pPr>
        <w:kinsoku w:val="0"/>
        <w:overflowPunct w:val="0"/>
        <w:autoSpaceDE w:val="0"/>
        <w:autoSpaceDN w:val="0"/>
        <w:adjustRightInd w:val="0"/>
        <w:snapToGrid w:val="0"/>
        <w:spacing w:line="300" w:lineRule="auto"/>
        <w:jc w:val="center"/>
        <w:rPr>
          <w:rFonts w:asciiTheme="minorEastAsia" w:eastAsiaTheme="minorEastAsia" w:hAnsiTheme="minorEastAsia" w:cs="Arial"/>
          <w:b/>
          <w:color w:val="000000"/>
          <w:sz w:val="22"/>
          <w:szCs w:val="22"/>
          <w:lang w:val="zh-CN"/>
        </w:rPr>
      </w:pPr>
      <w:r>
        <w:rPr>
          <w:rFonts w:asciiTheme="minorEastAsia" w:eastAsiaTheme="minorEastAsia" w:hAnsiTheme="minorEastAsia" w:cs="Arial" w:hint="eastAsia"/>
          <w:b/>
          <w:color w:val="000000"/>
          <w:sz w:val="22"/>
          <w:szCs w:val="22"/>
          <w:lang w:val="zh-CN"/>
        </w:rPr>
        <w:t>客户确认栏（仅适用于个人客户）</w:t>
      </w:r>
    </w:p>
    <w:p w:rsidR="008E2B02" w:rsidRDefault="008E2B02" w:rsidP="008E2B02">
      <w:pPr>
        <w:autoSpaceDE w:val="0"/>
        <w:autoSpaceDN w:val="0"/>
        <w:adjustRightInd w:val="0"/>
        <w:snapToGrid w:val="0"/>
        <w:spacing w:line="300" w:lineRule="auto"/>
        <w:ind w:firstLineChars="200" w:firstLine="440"/>
        <w:rPr>
          <w:rFonts w:asciiTheme="minorEastAsia" w:eastAsiaTheme="minorEastAsia" w:hAnsiTheme="minorEastAsia" w:cs="Arial"/>
          <w:b/>
          <w:color w:val="000000"/>
          <w:sz w:val="22"/>
          <w:szCs w:val="22"/>
          <w:lang w:val="zh-CN"/>
        </w:rPr>
      </w:pPr>
      <w:r>
        <w:rPr>
          <w:rFonts w:asciiTheme="minorEastAsia" w:eastAsiaTheme="minorEastAsia" w:hAnsiTheme="minorEastAsia" w:cs="Arial" w:hint="eastAsia"/>
          <w:color w:val="000000"/>
          <w:sz w:val="22"/>
          <w:szCs w:val="22"/>
          <w:lang w:val="zh-CN"/>
        </w:rPr>
        <w:t>本人确认购买该理财计划为本人真实的意思表示,并认为该理财计划完全适合本人的投资目标、投资预期以及风险承受能力，本人自愿承担由此带来的一切后果。</w:t>
      </w:r>
      <w:r>
        <w:rPr>
          <w:rFonts w:asciiTheme="minorEastAsia" w:eastAsiaTheme="minorEastAsia" w:hAnsiTheme="minorEastAsia" w:cs="Arial" w:hint="eastAsia"/>
          <w:b/>
          <w:color w:val="000000"/>
          <w:sz w:val="22"/>
          <w:szCs w:val="22"/>
          <w:lang w:val="zh-CN"/>
        </w:rPr>
        <w:t>本人确认招商银行相关业务人员对于理财产品说明书中限制本人权利、增加本人义务以及有关免除、限制招商银行责任或招商银行单方面拥有某些权利的条款已向本人予以说明，本人已完全理解并自愿接受。</w:t>
      </w:r>
    </w:p>
    <w:p w:rsidR="008E2B02" w:rsidRDefault="008E2B02" w:rsidP="008E2B02">
      <w:pPr>
        <w:autoSpaceDE w:val="0"/>
        <w:autoSpaceDN w:val="0"/>
        <w:adjustRightInd w:val="0"/>
        <w:snapToGrid w:val="0"/>
        <w:spacing w:line="300" w:lineRule="auto"/>
        <w:ind w:firstLineChars="200" w:firstLine="440"/>
        <w:rPr>
          <w:rFonts w:asciiTheme="minorEastAsia" w:eastAsiaTheme="minorEastAsia" w:hAnsiTheme="minorEastAsia" w:cs="Arial"/>
          <w:color w:val="000000"/>
          <w:sz w:val="22"/>
          <w:szCs w:val="22"/>
          <w:lang w:val="zh-CN"/>
        </w:rPr>
      </w:pPr>
      <w:r>
        <w:rPr>
          <w:rFonts w:asciiTheme="minorEastAsia" w:eastAsiaTheme="minorEastAsia" w:hAnsiTheme="minorEastAsia" w:cs="Arial" w:hint="eastAsia"/>
          <w:color w:val="000000"/>
          <w:sz w:val="22"/>
          <w:szCs w:val="22"/>
          <w:lang w:val="zh-CN"/>
        </w:rPr>
        <w:t>本人确认如下：</w:t>
      </w:r>
    </w:p>
    <w:p w:rsidR="008E2B02" w:rsidRDefault="008E2B02" w:rsidP="008E2B02">
      <w:pPr>
        <w:autoSpaceDE w:val="0"/>
        <w:autoSpaceDN w:val="0"/>
        <w:adjustRightInd w:val="0"/>
        <w:snapToGrid w:val="0"/>
        <w:spacing w:line="300" w:lineRule="auto"/>
        <w:rPr>
          <w:rFonts w:asciiTheme="minorEastAsia" w:eastAsiaTheme="minorEastAsia" w:hAnsiTheme="minorEastAsia" w:cs="Arial"/>
          <w:color w:val="000000"/>
          <w:sz w:val="22"/>
          <w:szCs w:val="22"/>
          <w:lang w:val="zh-CN"/>
        </w:rPr>
      </w:pPr>
      <w:r>
        <w:rPr>
          <w:rFonts w:asciiTheme="minorEastAsia" w:eastAsiaTheme="minorEastAsia" w:hAnsiTheme="minorEastAsia" w:cs="Arial" w:hint="eastAsia"/>
          <w:color w:val="000000"/>
          <w:sz w:val="22"/>
          <w:szCs w:val="22"/>
          <w:lang w:val="zh-CN"/>
        </w:rPr>
        <w:t>本人风险承受能力评级为：</w:t>
      </w:r>
      <w:r>
        <w:rPr>
          <w:rFonts w:asciiTheme="minorEastAsia" w:eastAsiaTheme="minorEastAsia" w:hAnsiTheme="minorEastAsia" w:cs="Arial" w:hint="eastAsia"/>
          <w:b/>
          <w:color w:val="000000"/>
          <w:sz w:val="22"/>
          <w:szCs w:val="22"/>
          <w:lang w:val="zh-CN"/>
        </w:rPr>
        <w:t>□A1  □A2  □A3  □A4  □A5</w:t>
      </w:r>
    </w:p>
    <w:p w:rsidR="008E2B02" w:rsidRDefault="008E2B02" w:rsidP="008E2B02">
      <w:pPr>
        <w:autoSpaceDE w:val="0"/>
        <w:autoSpaceDN w:val="0"/>
        <w:adjustRightInd w:val="0"/>
        <w:snapToGrid w:val="0"/>
        <w:spacing w:line="300" w:lineRule="auto"/>
        <w:rPr>
          <w:rFonts w:asciiTheme="minorEastAsia" w:eastAsiaTheme="minorEastAsia" w:hAnsiTheme="minorEastAsia" w:cs="Arial"/>
          <w:color w:val="000000"/>
          <w:sz w:val="22"/>
          <w:szCs w:val="22"/>
          <w:lang w:val="zh-CN"/>
        </w:rPr>
      </w:pPr>
      <w:r>
        <w:rPr>
          <w:rFonts w:asciiTheme="minorEastAsia" w:eastAsiaTheme="minorEastAsia" w:hAnsiTheme="minorEastAsia" w:cs="Arial" w:hint="eastAsia"/>
          <w:color w:val="000000"/>
          <w:sz w:val="22"/>
          <w:szCs w:val="22"/>
          <w:lang w:val="zh-CN"/>
        </w:rPr>
        <w:t>（客户需全文抄录以下文字以完成确认：</w:t>
      </w:r>
      <w:r>
        <w:rPr>
          <w:rFonts w:asciiTheme="minorEastAsia" w:eastAsiaTheme="minorEastAsia" w:hAnsiTheme="minorEastAsia" w:cs="Arial" w:hint="eastAsia"/>
          <w:b/>
          <w:bCs/>
          <w:color w:val="000000"/>
          <w:sz w:val="22"/>
          <w:szCs w:val="22"/>
          <w:lang w:val="zh-CN"/>
        </w:rPr>
        <w:t>本人已经阅读风险揭示，愿意承担投资风险。</w:t>
      </w:r>
      <w:r>
        <w:rPr>
          <w:rFonts w:asciiTheme="minorEastAsia" w:eastAsiaTheme="minorEastAsia" w:hAnsiTheme="minorEastAsia" w:cs="Arial" w:hint="eastAsia"/>
          <w:color w:val="000000"/>
          <w:sz w:val="22"/>
          <w:szCs w:val="22"/>
          <w:lang w:val="zh-CN"/>
        </w:rPr>
        <w:t>）</w:t>
      </w:r>
    </w:p>
    <w:p w:rsidR="008E2B02" w:rsidRDefault="008E2B02" w:rsidP="008E2B02">
      <w:pPr>
        <w:autoSpaceDE w:val="0"/>
        <w:autoSpaceDN w:val="0"/>
        <w:adjustRightInd w:val="0"/>
        <w:snapToGrid w:val="0"/>
        <w:spacing w:line="300" w:lineRule="auto"/>
        <w:rPr>
          <w:rFonts w:asciiTheme="minorEastAsia" w:eastAsiaTheme="minorEastAsia" w:hAnsiTheme="minorEastAsia" w:cs="Arial"/>
          <w:color w:val="000000"/>
          <w:sz w:val="22"/>
          <w:szCs w:val="22"/>
          <w:lang w:val="zh-CN"/>
        </w:rPr>
      </w:pPr>
    </w:p>
    <w:p w:rsidR="008E2B02" w:rsidRDefault="008E2B02" w:rsidP="008E2B02">
      <w:pPr>
        <w:autoSpaceDE w:val="0"/>
        <w:autoSpaceDN w:val="0"/>
        <w:adjustRightInd w:val="0"/>
        <w:snapToGrid w:val="0"/>
        <w:spacing w:line="300" w:lineRule="auto"/>
        <w:rPr>
          <w:rFonts w:asciiTheme="minorEastAsia" w:eastAsiaTheme="minorEastAsia" w:hAnsiTheme="minorEastAsia" w:cs="Arial"/>
          <w:color w:val="000000"/>
          <w:sz w:val="22"/>
          <w:szCs w:val="22"/>
          <w:u w:val="single"/>
          <w:lang w:val="zh-CN"/>
        </w:rPr>
      </w:pPr>
      <w:r>
        <w:rPr>
          <w:rFonts w:asciiTheme="minorEastAsia" w:eastAsiaTheme="minorEastAsia" w:hAnsiTheme="minorEastAsia" w:cs="Arial" w:hint="eastAsia"/>
          <w:color w:val="000000"/>
          <w:sz w:val="22"/>
          <w:szCs w:val="22"/>
          <w:u w:val="single"/>
          <w:lang w:val="zh-CN"/>
        </w:rPr>
        <w:t xml:space="preserve">                                                                        </w:t>
      </w:r>
    </w:p>
    <w:p w:rsidR="008E2B02" w:rsidRDefault="008E2B02" w:rsidP="008E2B02">
      <w:pPr>
        <w:autoSpaceDE w:val="0"/>
        <w:autoSpaceDN w:val="0"/>
        <w:adjustRightInd w:val="0"/>
        <w:snapToGrid w:val="0"/>
        <w:spacing w:line="300" w:lineRule="auto"/>
        <w:jc w:val="center"/>
        <w:rPr>
          <w:rFonts w:asciiTheme="minorEastAsia" w:eastAsiaTheme="minorEastAsia" w:hAnsiTheme="minorEastAsia" w:cs="Arial"/>
          <w:color w:val="000000"/>
          <w:sz w:val="22"/>
          <w:szCs w:val="22"/>
          <w:lang w:val="zh-CN"/>
        </w:rPr>
      </w:pPr>
      <w:r>
        <w:rPr>
          <w:rFonts w:asciiTheme="minorEastAsia" w:eastAsiaTheme="minorEastAsia" w:hAnsiTheme="minorEastAsia" w:cs="Arial" w:hint="eastAsia"/>
          <w:color w:val="000000"/>
          <w:sz w:val="22"/>
          <w:szCs w:val="22"/>
          <w:lang w:val="zh-CN"/>
        </w:rPr>
        <w:t>确认人（签字）：</w:t>
      </w:r>
    </w:p>
    <w:p w:rsidR="008E2B02" w:rsidRDefault="008E2B02" w:rsidP="008E2B02">
      <w:pPr>
        <w:autoSpaceDE w:val="0"/>
        <w:autoSpaceDN w:val="0"/>
        <w:adjustRightInd w:val="0"/>
        <w:snapToGrid w:val="0"/>
        <w:spacing w:line="300" w:lineRule="auto"/>
        <w:jc w:val="right"/>
        <w:rPr>
          <w:rFonts w:asciiTheme="minorEastAsia" w:eastAsiaTheme="minorEastAsia" w:hAnsiTheme="minorEastAsia" w:cs="Arial"/>
          <w:color w:val="000000"/>
          <w:sz w:val="22"/>
          <w:szCs w:val="22"/>
          <w:lang w:val="zh-CN"/>
        </w:rPr>
      </w:pPr>
      <w:r>
        <w:rPr>
          <w:rFonts w:asciiTheme="minorEastAsia" w:eastAsiaTheme="minorEastAsia" w:hAnsiTheme="minorEastAsia" w:cs="Arial" w:hint="eastAsia"/>
          <w:color w:val="000000"/>
          <w:sz w:val="22"/>
          <w:szCs w:val="22"/>
          <w:lang w:val="zh-CN"/>
        </w:rPr>
        <w:lastRenderedPageBreak/>
        <w:t>日期：      年    月    日</w:t>
      </w:r>
    </w:p>
    <w:p w:rsidR="008E2B02" w:rsidRDefault="008E2B02" w:rsidP="008E2B02">
      <w:pPr>
        <w:adjustRightInd w:val="0"/>
        <w:snapToGrid w:val="0"/>
        <w:spacing w:line="300" w:lineRule="auto"/>
        <w:jc w:val="center"/>
        <w:rPr>
          <w:rFonts w:asciiTheme="minorEastAsia" w:eastAsiaTheme="minorEastAsia" w:hAnsiTheme="minorEastAsia"/>
          <w:b/>
          <w:sz w:val="22"/>
          <w:szCs w:val="22"/>
        </w:rPr>
      </w:pPr>
      <w:r>
        <w:rPr>
          <w:rFonts w:asciiTheme="minorEastAsia" w:eastAsiaTheme="minorEastAsia" w:hAnsiTheme="minorEastAsia" w:hint="eastAsia"/>
          <w:kern w:val="0"/>
          <w:sz w:val="22"/>
          <w:szCs w:val="22"/>
        </w:rPr>
        <w:br w:type="page"/>
      </w:r>
      <w:r>
        <w:rPr>
          <w:rFonts w:asciiTheme="minorEastAsia" w:eastAsiaTheme="minorEastAsia" w:hAnsiTheme="minorEastAsia" w:hint="eastAsia"/>
          <w:b/>
          <w:sz w:val="22"/>
          <w:szCs w:val="22"/>
        </w:rPr>
        <w:lastRenderedPageBreak/>
        <w:t>招商银行日益月鑫理财计划A款</w:t>
      </w:r>
    </w:p>
    <w:p w:rsidR="008E2B02" w:rsidRDefault="008E2B02" w:rsidP="008E2B02">
      <w:pPr>
        <w:adjustRightInd w:val="0"/>
        <w:snapToGrid w:val="0"/>
        <w:spacing w:line="30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产品说明书</w:t>
      </w: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重要须知：</w:t>
      </w:r>
    </w:p>
    <w:p w:rsidR="008E2B02" w:rsidRDefault="008E2B02" w:rsidP="008E2B02">
      <w:pPr>
        <w:pStyle w:val="aa"/>
        <w:numPr>
          <w:ilvl w:val="0"/>
          <w:numId w:val="2"/>
        </w:numPr>
        <w:adjustRightInd w:val="0"/>
        <w:snapToGrid w:val="0"/>
        <w:spacing w:line="300" w:lineRule="auto"/>
        <w:ind w:firstLineChars="0"/>
        <w:rPr>
          <w:rFonts w:ascii="宋体" w:hAnsi="宋体" w:cs="Arial"/>
          <w:b/>
          <w:szCs w:val="21"/>
        </w:rPr>
      </w:pPr>
      <w:r>
        <w:rPr>
          <w:rFonts w:ascii="宋体" w:hAnsi="宋体" w:cs="Arial" w:hint="eastAsia"/>
          <w:b/>
          <w:szCs w:val="21"/>
        </w:rPr>
        <w:t>本产品说明书与风险揭示书、理财产品销售协议书、客户权益须知共同组成投资者与招商银行之间理财合同的不可分割之组成部分。</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本理财计划不等同于银行存款。</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本理财计划仅向依据中华人民共和国有关法律法规及本产品说明书规定可以购买本理财计划的合格投资者发售。</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在购买本理财计划前，请投资者确保完全明白本理财计划的性质、其中涉及的风险以及投资者的自身情况。投资者若对本产品说明书的内容有任何疑问，请向招商银行各营业网点或合作销售机构开户网点咨询。</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除本产品说明书中明确规定的收益及收益分配方式外，任何预期收益、预计收益、测算收益或类似表述均属不具有法律约束力的用语，不代表投资者可能获得的实际收益，亦不构成招商银行对本理财计划的任何收益承诺。客户所能获得的最终收益以招商银行实际支付的为准。</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本理财计划只根据本产品说明书所载的资料操作。</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在本产品存续期内，如因国家法律法规、监管规定发生变化，或是出于维持本产品正常运营的需要，在不损害投资者利益的前提下，招商银行有权单方对本产品说明书进行修订。招商银行决定对产品说明书进行修订的，将提前两个工作日以在一网通网站（</w:t>
      </w:r>
      <w:r>
        <w:rPr>
          <w:rFonts w:ascii="宋体" w:hAnsi="宋体" w:hint="eastAsia"/>
          <w:color w:val="000000"/>
          <w:kern w:val="0"/>
          <w:sz w:val="22"/>
          <w:szCs w:val="22"/>
        </w:rPr>
        <w:t>www.cmbchina.com</w:t>
      </w:r>
      <w:r>
        <w:rPr>
          <w:rFonts w:ascii="宋体" w:hAnsi="宋体" w:hint="eastAsia"/>
          <w:b/>
          <w:bCs/>
          <w:color w:val="000000"/>
          <w:kern w:val="0"/>
          <w:sz w:val="22"/>
          <w:szCs w:val="22"/>
          <w:lang w:val="zh-CN"/>
        </w:rPr>
        <w:t>）上公告的方式通知投资者。</w:t>
      </w:r>
    </w:p>
    <w:p w:rsidR="008E2B02" w:rsidRDefault="008E2B02" w:rsidP="008E2B02">
      <w:pPr>
        <w:pStyle w:val="aa"/>
        <w:numPr>
          <w:ilvl w:val="0"/>
          <w:numId w:val="2"/>
        </w:numPr>
        <w:autoSpaceDE w:val="0"/>
        <w:autoSpaceDN w:val="0"/>
        <w:adjustRightInd w:val="0"/>
        <w:snapToGrid w:val="0"/>
        <w:spacing w:line="300" w:lineRule="auto"/>
        <w:ind w:left="0" w:firstLineChars="0" w:firstLine="0"/>
        <w:jc w:val="left"/>
        <w:rPr>
          <w:rFonts w:ascii="宋体" w:hAnsi="宋体"/>
          <w:b/>
          <w:bCs/>
          <w:color w:val="000000"/>
          <w:kern w:val="0"/>
          <w:sz w:val="22"/>
          <w:szCs w:val="22"/>
          <w:lang w:val="zh-CN"/>
        </w:rPr>
      </w:pPr>
      <w:r>
        <w:rPr>
          <w:rFonts w:ascii="宋体" w:hAnsi="宋体" w:hint="eastAsia"/>
          <w:b/>
          <w:bCs/>
          <w:color w:val="000000"/>
          <w:kern w:val="0"/>
          <w:sz w:val="22"/>
          <w:szCs w:val="22"/>
          <w:lang w:val="zh-CN"/>
        </w:rPr>
        <w:t>招商银行有权依法对本产品说明书进行解释。</w:t>
      </w:r>
    </w:p>
    <w:p w:rsidR="008E2B02" w:rsidRDefault="008E2B02" w:rsidP="008E2B02">
      <w:pPr>
        <w:adjustRightInd w:val="0"/>
        <w:snapToGrid w:val="0"/>
        <w:spacing w:line="300" w:lineRule="auto"/>
        <w:rPr>
          <w:rFonts w:asciiTheme="minorEastAsia" w:eastAsiaTheme="minorEastAsia" w:hAnsiTheme="minorEastAsia"/>
          <w:b/>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风险揭示：</w:t>
      </w:r>
    </w:p>
    <w:p w:rsidR="008E2B02" w:rsidRDefault="008E2B02" w:rsidP="008E2B02">
      <w:pPr>
        <w:adjustRightInd w:val="0"/>
        <w:snapToGrid w:val="0"/>
        <w:spacing w:line="300" w:lineRule="auto"/>
        <w:ind w:firstLineChars="200" w:firstLine="442"/>
        <w:rPr>
          <w:rFonts w:asciiTheme="minorEastAsia" w:eastAsiaTheme="minorEastAsia" w:hAnsiTheme="minorEastAsia"/>
          <w:b/>
          <w:sz w:val="22"/>
          <w:szCs w:val="22"/>
        </w:rPr>
      </w:pPr>
      <w:r>
        <w:rPr>
          <w:rFonts w:asciiTheme="minorEastAsia" w:eastAsiaTheme="minorEastAsia" w:hAnsiTheme="minorEastAsia" w:hint="eastAsia"/>
          <w:b/>
          <w:sz w:val="22"/>
          <w:szCs w:val="22"/>
        </w:rPr>
        <w:t>理财非存款、产品有风险、投资须谨慎，投资者应充分认识以下风险：</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r>
        <w:rPr>
          <w:rFonts w:asciiTheme="minorEastAsia" w:eastAsiaTheme="minorEastAsia" w:hAnsiTheme="minorEastAsia" w:hint="eastAsia"/>
          <w:b/>
          <w:sz w:val="22"/>
          <w:szCs w:val="22"/>
        </w:rPr>
        <w:t>本金及理财收益风险：</w:t>
      </w:r>
      <w:r>
        <w:rPr>
          <w:rFonts w:asciiTheme="minorEastAsia" w:eastAsiaTheme="minorEastAsia" w:hAnsiTheme="minorEastAsia" w:hint="eastAsia"/>
          <w:b/>
          <w:bCs/>
          <w:color w:val="000000"/>
          <w:sz w:val="22"/>
          <w:szCs w:val="22"/>
          <w:lang w:val="zh-CN"/>
        </w:rPr>
        <w:t>本理财计划不保障本金且不保证理财收益。您的本金可能会因市场变动而蒙受重大损失，您应充分认识投资风险，谨慎投资。本理财计划收益来源于资产组合出让、处分或持有到期的收入。如资产组合无法正常处置的，则由此产生的本金及理财收益（如有，下同）损失的风险由投资者自行承担。</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b/>
          <w:bCs/>
          <w:color w:val="000000"/>
          <w:sz w:val="22"/>
          <w:szCs w:val="22"/>
          <w:lang w:val="zh-CN"/>
        </w:rPr>
      </w:pPr>
      <w:r>
        <w:rPr>
          <w:rFonts w:asciiTheme="minorEastAsia" w:eastAsiaTheme="minorEastAsia" w:hAnsiTheme="minorEastAsia" w:hint="eastAsia"/>
          <w:b/>
          <w:bCs/>
          <w:color w:val="000000"/>
          <w:sz w:val="22"/>
          <w:szCs w:val="22"/>
        </w:rPr>
        <w:t>管理人风险：</w:t>
      </w:r>
      <w:r>
        <w:rPr>
          <w:rFonts w:asciiTheme="minorEastAsia" w:eastAsiaTheme="minorEastAsia" w:hAnsiTheme="minorEastAsia" w:hint="eastAsia"/>
          <w:b/>
          <w:kern w:val="0"/>
          <w:sz w:val="22"/>
          <w:szCs w:val="22"/>
        </w:rPr>
        <w:t>因管理人（包括本理财计划的投资管理人、所投资的信托计划/资管计划的受托人（如有）、相关投资顾问（如有）等，下同）受经验、技能等因素的限制，可能导致本理财计</w:t>
      </w:r>
      <w:r>
        <w:rPr>
          <w:rFonts w:asciiTheme="minorEastAsia" w:eastAsiaTheme="minorEastAsia" w:hAnsiTheme="minorEastAsia" w:hint="eastAsia"/>
          <w:b/>
          <w:bCs/>
          <w:color w:val="000000"/>
          <w:sz w:val="22"/>
          <w:szCs w:val="22"/>
          <w:lang w:val="zh-CN"/>
        </w:rPr>
        <w:t>划项下的理财资金遭受损失。如因信托计划/资管计划的受托人和相关投资顾问违背相关协议约定、处理事务不当，可能导致本理财计划项下的理财资金遭受损失。</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政策风险：</w:t>
      </w:r>
      <w:r>
        <w:rPr>
          <w:rFonts w:asciiTheme="minorEastAsia" w:eastAsiaTheme="minorEastAsia" w:hAnsiTheme="minorEastAsia" w:hint="eastAsia"/>
          <w:sz w:val="22"/>
          <w:szCs w:val="22"/>
        </w:rPr>
        <w:t>本理财计划是针对当前的相关法规和政策设计的。如国家宏观政策以及市场相关法规政策发生变化，可能影响理财计划的受理、投资、偿还等的正常进行，甚至导致本理财计划收益降低甚至本金损失。</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延期风险：</w:t>
      </w:r>
      <w:r>
        <w:rPr>
          <w:rFonts w:asciiTheme="minorEastAsia" w:eastAsiaTheme="minorEastAsia" w:hAnsiTheme="minorEastAsia" w:hint="eastAsia"/>
          <w:sz w:val="22"/>
          <w:szCs w:val="22"/>
        </w:rPr>
        <w:t>如因理财计划项下资产组合变现等原因造成理财计划不能按时还本付息，理财持有期限将相应延长。</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b/>
          <w:sz w:val="22"/>
          <w:szCs w:val="22"/>
        </w:rPr>
      </w:pPr>
      <w:r>
        <w:rPr>
          <w:rFonts w:asciiTheme="minorEastAsia" w:eastAsiaTheme="minorEastAsia" w:hAnsiTheme="minorEastAsia" w:hint="eastAsia"/>
          <w:b/>
          <w:sz w:val="22"/>
          <w:szCs w:val="22"/>
        </w:rPr>
        <w:t>流动性风险：本理财计划存续期间，投资者只能在本产品说明书规定的时间内办理</w:t>
      </w:r>
      <w:r>
        <w:rPr>
          <w:rFonts w:asciiTheme="minorEastAsia" w:eastAsiaTheme="minorEastAsia" w:hAnsiTheme="minorEastAsia" w:hint="eastAsia"/>
          <w:b/>
          <w:sz w:val="22"/>
          <w:szCs w:val="22"/>
        </w:rPr>
        <w:lastRenderedPageBreak/>
        <w:t>认购，理财计划成立后投资者不享有提前赎回权利。</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再投资风险：</w:t>
      </w:r>
      <w:r>
        <w:rPr>
          <w:rFonts w:asciiTheme="minorEastAsia" w:eastAsiaTheme="minorEastAsia" w:hAnsiTheme="minorEastAsia" w:hint="eastAsia"/>
          <w:sz w:val="22"/>
          <w:szCs w:val="22"/>
        </w:rPr>
        <w:t>由于招商银行在特定情况下提前终止理财，则本理财计划的实际理财持有期限可能小于预定期限。如果理财计划提前终止，则投资者无法实现期初预期的全部收益。</w:t>
      </w:r>
    </w:p>
    <w:p w:rsidR="008E2B02" w:rsidRDefault="008E2B02" w:rsidP="008E2B02">
      <w:pPr>
        <w:pStyle w:val="aa"/>
        <w:numPr>
          <w:ilvl w:val="0"/>
          <w:numId w:val="3"/>
        </w:numPr>
        <w:adjustRightInd w:val="0"/>
        <w:snapToGrid w:val="0"/>
        <w:spacing w:line="300" w:lineRule="auto"/>
        <w:ind w:left="0" w:firstLineChars="0" w:firstLine="0"/>
        <w:jc w:val="left"/>
        <w:rPr>
          <w:rFonts w:asciiTheme="minorEastAsia" w:eastAsiaTheme="minorEastAsia" w:hAnsiTheme="minorEastAsia"/>
          <w:b/>
          <w:bCs/>
          <w:color w:val="000000"/>
          <w:kern w:val="0"/>
          <w:sz w:val="22"/>
          <w:szCs w:val="22"/>
          <w:lang w:val="zh-CN"/>
        </w:rPr>
      </w:pPr>
      <w:r>
        <w:rPr>
          <w:rFonts w:asciiTheme="minorEastAsia" w:eastAsiaTheme="minorEastAsia" w:hAnsiTheme="minorEastAsia" w:hint="eastAsia"/>
          <w:b/>
          <w:sz w:val="22"/>
          <w:szCs w:val="22"/>
        </w:rPr>
        <w:t>信息传递风险：</w:t>
      </w:r>
      <w:r>
        <w:rPr>
          <w:rFonts w:asciiTheme="minorEastAsia" w:eastAsiaTheme="minorEastAsia" w:hAnsiTheme="minorEastAsia" w:hint="eastAsia"/>
          <w:b/>
          <w:bCs/>
          <w:color w:val="000000"/>
          <w:kern w:val="0"/>
          <w:sz w:val="22"/>
          <w:szCs w:val="22"/>
          <w:lang w:val="zh-CN"/>
        </w:rPr>
        <w:t>本理财计划存续期内提供估值，不提供账单，投资者应根据本理财计划说明书所载明的公告方式及时查询本理财计划的相关信息。</w:t>
      </w:r>
      <w:r>
        <w:rPr>
          <w:rFonts w:asciiTheme="minorEastAsia" w:eastAsiaTheme="minorEastAsia" w:hAnsiTheme="minorEastAsia" w:hint="eastAsia"/>
          <w:bCs/>
          <w:color w:val="000000"/>
          <w:kern w:val="0"/>
          <w:sz w:val="22"/>
          <w:szCs w:val="22"/>
          <w:lang w:val="zh-CN"/>
        </w:rPr>
        <w:t>招商银行按照本产品说明书有关“信息公告”的约定，发布理财计划的信息公告。投资者应根据“信息公告”的约定及时登录招商银行一网通网站或者致电招商银行全国统一客户服务热线（95555）、各营业网点</w:t>
      </w:r>
      <w:r>
        <w:rPr>
          <w:rFonts w:asciiTheme="minorEastAsia" w:eastAsiaTheme="minorEastAsia" w:hAnsiTheme="minorEastAsia" w:hint="eastAsia"/>
          <w:sz w:val="22"/>
          <w:szCs w:val="22"/>
        </w:rPr>
        <w:t>或合作销售机构开户网点查询。</w:t>
      </w:r>
      <w:r>
        <w:rPr>
          <w:rFonts w:asciiTheme="minorEastAsia" w:eastAsiaTheme="minorEastAsia" w:hAnsiTheme="minorEastAsia" w:hint="eastAsia"/>
          <w:b/>
          <w:sz w:val="22"/>
          <w:szCs w:val="22"/>
        </w:rPr>
        <w:t>如果投资者未及时查询，或由于通讯故障、系统故障以及其他不可抗力</w:t>
      </w:r>
      <w:r>
        <w:rPr>
          <w:rFonts w:asciiTheme="minorEastAsia" w:eastAsiaTheme="minorEastAsia" w:hAnsiTheme="minorEastAsia" w:hint="eastAsia"/>
          <w:b/>
          <w:bCs/>
          <w:color w:val="000000"/>
          <w:kern w:val="0"/>
          <w:sz w:val="22"/>
          <w:szCs w:val="22"/>
          <w:lang w:val="zh-CN"/>
        </w:rPr>
        <w:t>等因素的影响使得投资者无法及时了解理财计划信息，并由此影响投资者的投资决策，并可能导致投资者丧失提前退出及再投资的机会，因此而产生的责任和风险由投资者自行承担。另外，投资者预留在招商银行的有效联系方式变更的，应及时通知招商银行。如投资者未及时告知招商银行联系方式变更的，或因投资者其他原因导致招商银行将可能在需要联系投资者时无法及时联系上，并可能会由此影响投资者的投资决策，由此而产生的责任和风险由投资者自行承担。</w:t>
      </w:r>
    </w:p>
    <w:p w:rsidR="008E2B02"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b/>
          <w:sz w:val="22"/>
          <w:szCs w:val="22"/>
        </w:rPr>
      </w:pPr>
      <w:r>
        <w:rPr>
          <w:rFonts w:asciiTheme="minorEastAsia" w:eastAsiaTheme="minorEastAsia" w:hAnsiTheme="minorEastAsia" w:hint="eastAsia"/>
          <w:b/>
          <w:sz w:val="22"/>
          <w:szCs w:val="22"/>
        </w:rPr>
        <w:t>理财计划不成立风险：</w:t>
      </w:r>
      <w:r>
        <w:rPr>
          <w:rFonts w:asciiTheme="minorEastAsia" w:eastAsiaTheme="minorEastAsia" w:hAnsiTheme="minorEastAsia" w:hint="eastAsia"/>
          <w:b/>
          <w:bCs/>
          <w:color w:val="000000"/>
          <w:kern w:val="0"/>
          <w:sz w:val="22"/>
          <w:szCs w:val="22"/>
          <w:lang w:val="zh-CN"/>
        </w:rPr>
        <w:t>如自本理财计划开始认购至理财计划原定成立日之前，理财计划认购总金额未达到规模下限（如有约定），或国家宏观政策以及市场相关法规政策发生变化，</w:t>
      </w:r>
      <w:r>
        <w:rPr>
          <w:rFonts w:asciiTheme="minorEastAsia" w:eastAsiaTheme="minorEastAsia" w:hAnsiTheme="minorEastAsia" w:hint="eastAsia"/>
          <w:b/>
          <w:sz w:val="22"/>
          <w:szCs w:val="22"/>
        </w:rPr>
        <w:t>或市场发生剧烈波动，或发生其他经招商银行合理判断难以按照本产品说明书规定向客户提供本理财计划的情形，招商银行有权宣布本理财计划不成立。</w:t>
      </w:r>
    </w:p>
    <w:p w:rsidR="008E2B02" w:rsidRPr="0055663E" w:rsidRDefault="008E2B02"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sz w:val="22"/>
          <w:szCs w:val="22"/>
        </w:rPr>
      </w:pPr>
      <w:r>
        <w:rPr>
          <w:rFonts w:asciiTheme="minorEastAsia" w:eastAsiaTheme="minorEastAsia" w:hAnsiTheme="minorEastAsia" w:hint="eastAsia"/>
          <w:b/>
          <w:sz w:val="22"/>
          <w:szCs w:val="22"/>
        </w:rPr>
        <w:t>不可抗力风险：</w:t>
      </w:r>
      <w:r>
        <w:rPr>
          <w:rFonts w:asciiTheme="minorEastAsia" w:eastAsiaTheme="minorEastAsia" w:hAnsiTheme="minorEastAsia" w:hint="eastAsia"/>
          <w:sz w:val="22"/>
          <w:szCs w:val="22"/>
        </w:rPr>
        <w:t>指由于自然灾害、战争等不可抗力因素的出现，将严重影响金融市场的正常运行，可能影响理财计划的受理、投资、偿还等的正常进行，甚至导致本理财计划收益降低甚至本金损失。</w:t>
      </w:r>
      <w:r>
        <w:rPr>
          <w:rFonts w:asciiTheme="minorEastAsia" w:eastAsiaTheme="minorEastAsia" w:hAnsiTheme="minorEastAsia" w:hint="eastAsia"/>
          <w:b/>
          <w:sz w:val="22"/>
          <w:szCs w:val="22"/>
        </w:rPr>
        <w:t>对于由不可抗力风险所导致的任何损失，由投资者自行承担，招商银行对此不承担任何责任。</w:t>
      </w:r>
    </w:p>
    <w:p w:rsidR="0055663E" w:rsidRDefault="00A7265A" w:rsidP="008E2B02">
      <w:pPr>
        <w:pStyle w:val="aa"/>
        <w:numPr>
          <w:ilvl w:val="0"/>
          <w:numId w:val="3"/>
        </w:numPr>
        <w:adjustRightInd w:val="0"/>
        <w:snapToGrid w:val="0"/>
        <w:spacing w:line="300" w:lineRule="auto"/>
        <w:ind w:left="0" w:firstLineChars="0" w:firstLine="0"/>
        <w:rPr>
          <w:rFonts w:asciiTheme="minorEastAsia" w:eastAsiaTheme="minorEastAsia" w:hAnsiTheme="minorEastAsia"/>
          <w:sz w:val="22"/>
          <w:szCs w:val="22"/>
        </w:rPr>
      </w:pPr>
      <w:r w:rsidRPr="00CE42DB">
        <w:rPr>
          <w:rFonts w:asciiTheme="minorEastAsia" w:hAnsiTheme="minorEastAsia" w:hint="eastAsia"/>
          <w:b/>
          <w:sz w:val="22"/>
        </w:rPr>
        <w:t>税务风险：</w:t>
      </w:r>
      <w:r w:rsidRPr="005E0FE9">
        <w:rPr>
          <w:rFonts w:asciiTheme="minorEastAsia" w:hAnsiTheme="minorEastAsia" w:hint="eastAsia"/>
          <w:sz w:val="22"/>
        </w:rPr>
        <w:t>根据国家相关法律法规，理财计划运营过程中发生的应由理财计划承担的增值税应税行为，由本产品管理人申报和缴纳增值税及附加税费。该等税款将直接从理财计划中扣付缴纳，本理财计划将因为前述增值税等税负承担导致计划税费支出增加、理财计划净值或实际收益降低，从而降低产品投资人的收益水平。</w:t>
      </w:r>
      <w:bookmarkStart w:id="4" w:name="_GoBack"/>
      <w:bookmarkEnd w:id="4"/>
    </w:p>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产品风险评级 R2</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noProof/>
          <w:sz w:val="22"/>
          <w:szCs w:val="22"/>
        </w:rPr>
        <w:drawing>
          <wp:inline distT="0" distB="0" distL="0" distR="0">
            <wp:extent cx="2682875" cy="1906270"/>
            <wp:effectExtent l="19050" t="0" r="3175" b="0"/>
            <wp:docPr id="5"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pic:cNvPicPr>
                      <a:picLocks noChangeAspect="1" noChangeArrowheads="1"/>
                    </pic:cNvPicPr>
                  </pic:nvPicPr>
                  <pic:blipFill>
                    <a:blip r:embed="rId7"/>
                    <a:srcRect/>
                    <a:stretch>
                      <a:fillRect/>
                    </a:stretch>
                  </pic:blipFill>
                  <pic:spPr bwMode="auto">
                    <a:xfrm>
                      <a:off x="0" y="0"/>
                      <a:ext cx="2682875" cy="1906270"/>
                    </a:xfrm>
                    <a:prstGeom prst="rect">
                      <a:avLst/>
                    </a:prstGeom>
                    <a:noFill/>
                    <a:ln w="9525">
                      <a:noFill/>
                      <a:miter lim="800000"/>
                      <a:headEnd/>
                      <a:tailEnd/>
                    </a:ln>
                  </pic:spPr>
                </pic:pic>
              </a:graphicData>
            </a:graphic>
          </wp:inline>
        </w:drawing>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（本评级为招商银行内部评级，仅供参考）</w:t>
      </w:r>
    </w:p>
    <w:p w:rsidR="008E2B02" w:rsidRDefault="008E2B02" w:rsidP="008E2B02">
      <w:pPr>
        <w:widowControl/>
        <w:spacing w:line="263" w:lineRule="atLeast"/>
        <w:jc w:val="left"/>
        <w:rPr>
          <w:rFonts w:ascii="Arial" w:eastAsia="Times New Roman" w:hAnsi="Arial" w:cs="Arial"/>
          <w:color w:val="000000"/>
          <w:kern w:val="0"/>
          <w:szCs w:val="21"/>
        </w:rPr>
      </w:pPr>
      <w:r>
        <w:rPr>
          <w:rFonts w:ascii="宋体" w:hAnsi="宋体" w:cs="Arial" w:hint="eastAsia"/>
          <w:b/>
          <w:bCs/>
          <w:color w:val="000000"/>
          <w:kern w:val="0"/>
          <w:sz w:val="22"/>
          <w:szCs w:val="22"/>
        </w:rPr>
        <w:lastRenderedPageBreak/>
        <w:t>投资管理人：</w:t>
      </w:r>
    </w:p>
    <w:p w:rsidR="008E2B02" w:rsidRDefault="008E2B02" w:rsidP="008E2B02">
      <w:pPr>
        <w:pStyle w:val="aa"/>
        <w:adjustRightInd w:val="0"/>
        <w:snapToGrid w:val="0"/>
        <w:spacing w:line="300" w:lineRule="auto"/>
        <w:ind w:firstLineChars="0" w:firstLine="0"/>
        <w:jc w:val="left"/>
        <w:rPr>
          <w:rFonts w:asciiTheme="minorEastAsia" w:eastAsiaTheme="minorEastAsia" w:hAnsiTheme="minorEastAsia"/>
          <w:bCs/>
          <w:color w:val="000000"/>
          <w:kern w:val="0"/>
          <w:sz w:val="22"/>
          <w:szCs w:val="22"/>
          <w:lang w:val="zh-CN"/>
        </w:rPr>
      </w:pPr>
      <w:r>
        <w:rPr>
          <w:rFonts w:ascii="宋体" w:hAnsi="宋体" w:cs="Arial" w:hint="eastAsia"/>
          <w:b/>
          <w:bCs/>
          <w:color w:val="000000"/>
          <w:kern w:val="0"/>
          <w:sz w:val="22"/>
          <w:szCs w:val="22"/>
        </w:rPr>
        <w:t xml:space="preserve">    </w:t>
      </w:r>
      <w:r>
        <w:rPr>
          <w:rFonts w:asciiTheme="minorEastAsia" w:eastAsiaTheme="minorEastAsia" w:hAnsiTheme="minorEastAsia" w:hint="eastAsia"/>
          <w:bCs/>
          <w:color w:val="000000"/>
          <w:kern w:val="0"/>
          <w:sz w:val="22"/>
          <w:szCs w:val="22"/>
          <w:lang w:val="zh-CN"/>
        </w:rPr>
        <w:t>本理财计划的投资管理人为招商银行股份有限公司（以下简称“招商银行”），招商银行负责本理财计划的投资运作和产品管理。投资者在此授权并同意招商银行享有以下权利：</w:t>
      </w:r>
    </w:p>
    <w:p w:rsidR="008E2B02" w:rsidRDefault="008E2B02" w:rsidP="008E2B02">
      <w:pPr>
        <w:pStyle w:val="aa"/>
        <w:adjustRightInd w:val="0"/>
        <w:snapToGrid w:val="0"/>
        <w:spacing w:line="300" w:lineRule="auto"/>
        <w:ind w:firstLineChars="0" w:firstLine="0"/>
        <w:jc w:val="left"/>
        <w:rPr>
          <w:rFonts w:asciiTheme="minorEastAsia" w:eastAsiaTheme="minorEastAsia" w:hAnsiTheme="minorEastAsia"/>
          <w:bCs/>
          <w:color w:val="000000"/>
          <w:kern w:val="0"/>
          <w:sz w:val="22"/>
          <w:szCs w:val="22"/>
          <w:lang w:val="zh-CN"/>
        </w:rPr>
      </w:pPr>
      <w:r>
        <w:rPr>
          <w:rFonts w:asciiTheme="minorEastAsia" w:eastAsiaTheme="minorEastAsia" w:hAnsiTheme="minorEastAsia" w:hint="eastAsia"/>
          <w:bCs/>
          <w:color w:val="000000"/>
          <w:kern w:val="0"/>
          <w:sz w:val="22"/>
          <w:szCs w:val="22"/>
          <w:lang w:val="zh-CN"/>
        </w:rPr>
        <w:t>1. 以理财计划投资管理人的名义，依照法律法规相关规定以及为理财计划的利益，对被投资的各类基金（含公募基金和私募基金）、公司/企业等行使出资人/投资者权利（包括但不限于表决投票的权利）以及行使因理财计划财产投资于证券类基础资产（含债券）或其他基础资产（包括但不限于债权类资产）所产生的相关权利。</w:t>
      </w:r>
    </w:p>
    <w:p w:rsidR="008E2B02" w:rsidRDefault="008E2B02" w:rsidP="008E2B02">
      <w:pPr>
        <w:pStyle w:val="aa"/>
        <w:adjustRightInd w:val="0"/>
        <w:snapToGrid w:val="0"/>
        <w:spacing w:line="300" w:lineRule="auto"/>
        <w:ind w:firstLineChars="0" w:firstLine="0"/>
        <w:jc w:val="left"/>
        <w:rPr>
          <w:rFonts w:asciiTheme="minorEastAsia" w:eastAsiaTheme="minorEastAsia" w:hAnsiTheme="minorEastAsia"/>
          <w:bCs/>
          <w:color w:val="000000"/>
          <w:kern w:val="0"/>
          <w:sz w:val="22"/>
          <w:szCs w:val="22"/>
          <w:lang w:val="zh-CN"/>
        </w:rPr>
      </w:pPr>
      <w:r>
        <w:rPr>
          <w:rFonts w:asciiTheme="minorEastAsia" w:eastAsiaTheme="minorEastAsia" w:hAnsiTheme="minorEastAsia" w:hint="eastAsia"/>
          <w:bCs/>
          <w:color w:val="000000"/>
          <w:kern w:val="0"/>
          <w:sz w:val="22"/>
          <w:szCs w:val="22"/>
          <w:lang w:val="zh-CN"/>
        </w:rPr>
        <w:t>2. 以理财计划投资管理人的名义，依照法律法规相关规定以及代表理财计划份额持有人的利益行使代为追索的权利（包括但不限于提起诉讼/仲裁、申请保全/执行的权利）或者实施其他法律行为。</w:t>
      </w:r>
    </w:p>
    <w:p w:rsidR="008E2B02" w:rsidRDefault="008E2B02" w:rsidP="008E2B02">
      <w:pPr>
        <w:adjustRightInd w:val="0"/>
        <w:snapToGrid w:val="0"/>
        <w:spacing w:line="300" w:lineRule="auto"/>
        <w:ind w:firstLineChars="200" w:firstLine="442"/>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招商银行日益月鑫理财计划A款产品类型为非保本浮动收益类，根据投资者不同的流动性需求，提供不同的理财持有期限，目前提供的理财持有期限为7天、14天和21天。投资者选择对应销售代码认购/申购本理财计划成功后，投资者持有的理财产品份额将在对应理财持有期限后自动赎回。</w:t>
      </w:r>
    </w:p>
    <w:p w:rsidR="008E2B02" w:rsidRDefault="008E2B02" w:rsidP="008E2B02">
      <w:pPr>
        <w:adjustRightInd w:val="0"/>
        <w:snapToGrid w:val="0"/>
        <w:spacing w:line="300" w:lineRule="auto"/>
        <w:jc w:val="left"/>
        <w:rPr>
          <w:rFonts w:asciiTheme="minorEastAsia" w:eastAsiaTheme="minorEastAsia" w:hAnsiTheme="minorEastAsia"/>
          <w:sz w:val="22"/>
          <w:szCs w:val="22"/>
        </w:rPr>
      </w:pPr>
    </w:p>
    <w:p w:rsidR="008E2B02" w:rsidRDefault="008E2B02" w:rsidP="008E2B02">
      <w:pPr>
        <w:adjustRightInd w:val="0"/>
        <w:snapToGrid w:val="0"/>
        <w:spacing w:line="300" w:lineRule="auto"/>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投资方向和范围</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本理财计划投资于银行间和交易所市场信用级别较高、流动性较好的金融资产和金融工具，包括但不限于债券、资产支持证券、资金拆借、逆回购、银行存款</w:t>
      </w:r>
      <w:r>
        <w:rPr>
          <w:rFonts w:ascii="宋体" w:hAnsi="宋体" w:hint="eastAsia"/>
          <w:color w:val="000000"/>
          <w:sz w:val="22"/>
          <w:szCs w:val="22"/>
        </w:rPr>
        <w:t>、券商收益凭证</w:t>
      </w:r>
      <w:r>
        <w:rPr>
          <w:rFonts w:asciiTheme="minorEastAsia" w:eastAsiaTheme="minorEastAsia" w:hAnsiTheme="minorEastAsia" w:hint="eastAsia"/>
          <w:sz w:val="22"/>
          <w:szCs w:val="22"/>
        </w:rPr>
        <w:t>等，并可通过信托计划、定向资产管理计划等资产管理计划进行投资。</w:t>
      </w:r>
    </w:p>
    <w:p w:rsidR="008E2B02" w:rsidRDefault="008E2B02" w:rsidP="008E2B02">
      <w:pPr>
        <w:autoSpaceDE w:val="0"/>
        <w:autoSpaceDN w:val="0"/>
        <w:adjustRightInd w:val="0"/>
        <w:snapToGrid w:val="0"/>
        <w:spacing w:line="300" w:lineRule="auto"/>
        <w:ind w:firstLine="442"/>
        <w:jc w:val="left"/>
        <w:rPr>
          <w:rFonts w:asciiTheme="minorEastAsia" w:eastAsiaTheme="minorEastAsia" w:hAnsiTheme="minorEastAsia"/>
          <w:b/>
          <w:bCs/>
          <w:color w:val="000000"/>
          <w:kern w:val="0"/>
          <w:sz w:val="22"/>
          <w:szCs w:val="22"/>
          <w:lang w:val="zh-CN"/>
        </w:rPr>
      </w:pPr>
      <w:r>
        <w:rPr>
          <w:rFonts w:asciiTheme="minorEastAsia" w:eastAsiaTheme="minorEastAsia" w:hAnsiTheme="minorEastAsia" w:hint="eastAsia"/>
          <w:b/>
          <w:bCs/>
          <w:color w:val="000000"/>
          <w:kern w:val="0"/>
          <w:sz w:val="22"/>
          <w:szCs w:val="22"/>
          <w:lang w:val="zh-CN"/>
        </w:rPr>
        <w:t>投资比例区间（理财产品存续期内可能因市场的重大变化导致投资比例暂时超出如下区间，银行将尽合理努力，以客户利益最大化为原则尽快使投资比例恢复至如下规定区间。）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2"/>
        <w:gridCol w:w="2200"/>
      </w:tblGrid>
      <w:tr w:rsidR="008E2B02" w:rsidTr="008E2B02">
        <w:trPr>
          <w:jc w:val="center"/>
        </w:trPr>
        <w:tc>
          <w:tcPr>
            <w:tcW w:w="3709"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2"/>
              <w:jc w:val="center"/>
              <w:rPr>
                <w:rFonts w:asciiTheme="minorEastAsia" w:eastAsiaTheme="minorEastAsia" w:hAnsiTheme="minorEastAsia"/>
                <w:b/>
                <w:sz w:val="22"/>
              </w:rPr>
            </w:pPr>
            <w:r>
              <w:rPr>
                <w:rFonts w:asciiTheme="minorEastAsia" w:eastAsiaTheme="minorEastAsia" w:hAnsiTheme="minorEastAsia" w:hint="eastAsia"/>
                <w:b/>
                <w:sz w:val="22"/>
                <w:szCs w:val="22"/>
              </w:rPr>
              <w:t>投资品种</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2"/>
              <w:jc w:val="center"/>
              <w:rPr>
                <w:rFonts w:asciiTheme="minorEastAsia" w:eastAsiaTheme="minorEastAsia" w:hAnsiTheme="minorEastAsia"/>
                <w:b/>
                <w:sz w:val="22"/>
              </w:rPr>
            </w:pPr>
            <w:r>
              <w:rPr>
                <w:rFonts w:asciiTheme="minorEastAsia" w:eastAsiaTheme="minorEastAsia" w:hAnsiTheme="minorEastAsia" w:hint="eastAsia"/>
                <w:b/>
                <w:sz w:val="22"/>
                <w:szCs w:val="22"/>
              </w:rPr>
              <w:t>计划配置比例</w:t>
            </w:r>
          </w:p>
        </w:tc>
      </w:tr>
      <w:tr w:rsidR="008E2B02" w:rsidTr="008E2B02">
        <w:trPr>
          <w:jc w:val="center"/>
        </w:trPr>
        <w:tc>
          <w:tcPr>
            <w:tcW w:w="3709"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国债、政策性金融债、央行票据</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0%-40%</w:t>
            </w:r>
          </w:p>
        </w:tc>
      </w:tr>
      <w:tr w:rsidR="008E2B02" w:rsidTr="008E2B02">
        <w:trPr>
          <w:jc w:val="center"/>
        </w:trPr>
        <w:tc>
          <w:tcPr>
            <w:tcW w:w="3709"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银行存款、银行间及交易所债券资产</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0%-90%</w:t>
            </w:r>
          </w:p>
        </w:tc>
      </w:tr>
      <w:tr w:rsidR="008E2B02" w:rsidTr="008E2B02">
        <w:trPr>
          <w:jc w:val="center"/>
        </w:trPr>
        <w:tc>
          <w:tcPr>
            <w:tcW w:w="3709"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资产支持证券</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0%-50%</w:t>
            </w:r>
          </w:p>
        </w:tc>
      </w:tr>
      <w:tr w:rsidR="008E2B02" w:rsidTr="008E2B02">
        <w:trPr>
          <w:trHeight w:val="332"/>
          <w:jc w:val="center"/>
        </w:trPr>
        <w:tc>
          <w:tcPr>
            <w:tcW w:w="3709"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信托计划、定向资产管理计划</w:t>
            </w:r>
            <w:r>
              <w:rPr>
                <w:rFonts w:ascii="宋体" w:hAnsi="宋体" w:hint="eastAsia"/>
                <w:color w:val="000000"/>
                <w:sz w:val="22"/>
                <w:szCs w:val="22"/>
              </w:rPr>
              <w:t>、券商收益凭证</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0%-90%</w:t>
            </w:r>
          </w:p>
        </w:tc>
      </w:tr>
      <w:tr w:rsidR="008E2B02" w:rsidTr="008E2B02">
        <w:trPr>
          <w:trHeight w:val="332"/>
          <w:jc w:val="center"/>
        </w:trPr>
        <w:tc>
          <w:tcPr>
            <w:tcW w:w="3709"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资金拆借、逆回购等其他固定收益金融资产</w:t>
            </w:r>
          </w:p>
        </w:tc>
        <w:tc>
          <w:tcPr>
            <w:tcW w:w="1291" w:type="pct"/>
            <w:tcBorders>
              <w:top w:val="single" w:sz="4" w:space="0" w:color="000000"/>
              <w:left w:val="single" w:sz="4" w:space="0" w:color="000000"/>
              <w:bottom w:val="single" w:sz="4" w:space="0" w:color="000000"/>
              <w:right w:val="single" w:sz="4" w:space="0" w:color="000000"/>
            </w:tcBorders>
            <w:vAlign w:val="center"/>
            <w:hideMark/>
          </w:tcPr>
          <w:p w:rsidR="008E2B02" w:rsidRDefault="008E2B02">
            <w:pPr>
              <w:autoSpaceDE w:val="0"/>
              <w:autoSpaceDN w:val="0"/>
              <w:adjustRightInd w:val="0"/>
              <w:snapToGrid w:val="0"/>
              <w:spacing w:line="300" w:lineRule="auto"/>
              <w:ind w:firstLineChars="200" w:firstLine="440"/>
              <w:jc w:val="center"/>
              <w:rPr>
                <w:rFonts w:asciiTheme="minorEastAsia" w:eastAsiaTheme="minorEastAsia" w:hAnsiTheme="minorEastAsia"/>
                <w:sz w:val="22"/>
              </w:rPr>
            </w:pPr>
            <w:r>
              <w:rPr>
                <w:rFonts w:asciiTheme="minorEastAsia" w:eastAsiaTheme="minorEastAsia" w:hAnsiTheme="minorEastAsia" w:hint="eastAsia"/>
                <w:sz w:val="22"/>
                <w:szCs w:val="22"/>
              </w:rPr>
              <w:t>0%-70%</w:t>
            </w:r>
          </w:p>
        </w:tc>
      </w:tr>
    </w:tbl>
    <w:p w:rsidR="008E2B02" w:rsidRDefault="008E2B02" w:rsidP="008E2B02">
      <w:pPr>
        <w:autoSpaceDE w:val="0"/>
        <w:autoSpaceDN w:val="0"/>
        <w:adjustRightInd w:val="0"/>
        <w:snapToGrid w:val="0"/>
        <w:spacing w:line="300" w:lineRule="auto"/>
        <w:ind w:firstLineChars="200" w:firstLine="442"/>
        <w:jc w:val="left"/>
        <w:rPr>
          <w:rFonts w:asciiTheme="minorEastAsia" w:eastAsiaTheme="minorEastAsia" w:hAnsiTheme="minorEastAsia"/>
          <w:b/>
          <w:bCs/>
          <w:color w:val="000000"/>
          <w:kern w:val="0"/>
          <w:sz w:val="22"/>
          <w:szCs w:val="22"/>
          <w:lang w:val="zh-CN"/>
        </w:rPr>
      </w:pPr>
      <w:r>
        <w:rPr>
          <w:rFonts w:asciiTheme="minorEastAsia" w:eastAsiaTheme="minorEastAsia" w:hAnsiTheme="minorEastAsia" w:hint="eastAsia"/>
          <w:b/>
          <w:bCs/>
          <w:color w:val="000000"/>
          <w:kern w:val="0"/>
          <w:sz w:val="22"/>
          <w:szCs w:val="22"/>
          <w:lang w:val="zh-CN"/>
        </w:rPr>
        <w:t>银行有权根据市场情况，</w:t>
      </w:r>
      <w:r>
        <w:rPr>
          <w:rFonts w:asciiTheme="minorEastAsia" w:eastAsiaTheme="minorEastAsia" w:hAnsiTheme="minorEastAsia" w:hint="eastAsia"/>
          <w:b/>
          <w:kern w:val="0"/>
          <w:sz w:val="22"/>
          <w:szCs w:val="22"/>
          <w:lang w:val="zh-CN"/>
        </w:rPr>
        <w:t>在不损害投资者利益且根据约定提前公告的情况下，</w:t>
      </w:r>
      <w:r>
        <w:rPr>
          <w:rFonts w:asciiTheme="minorEastAsia" w:eastAsiaTheme="minorEastAsia" w:hAnsiTheme="minorEastAsia" w:hint="eastAsia"/>
          <w:b/>
          <w:bCs/>
          <w:color w:val="000000"/>
          <w:kern w:val="0"/>
          <w:sz w:val="22"/>
          <w:szCs w:val="22"/>
          <w:lang w:val="zh-CN"/>
        </w:rPr>
        <w:t>对本理财计划的投资范围、投资品种和投资比例进行调整。投资者对此无异议且同意在上述情况下继续持有本理财计划。</w:t>
      </w:r>
    </w:p>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基本规定</w:t>
      </w:r>
    </w:p>
    <w:tbl>
      <w:tblPr>
        <w:tblW w:w="51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5" w:type="dxa"/>
          <w:right w:w="45" w:type="dxa"/>
        </w:tblCellMar>
        <w:tblLook w:val="04A0" w:firstRow="1" w:lastRow="0" w:firstColumn="1" w:lastColumn="0" w:noHBand="0" w:noVBand="1"/>
      </w:tblPr>
      <w:tblGrid>
        <w:gridCol w:w="1820"/>
        <w:gridCol w:w="6887"/>
      </w:tblGrid>
      <w:tr w:rsidR="008E2B02" w:rsidTr="008E2B02">
        <w:trPr>
          <w:trHeight w:val="381"/>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名称</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Theme="minorEastAsia" w:eastAsiaTheme="minorEastAsia" w:hAnsiTheme="minorEastAsia" w:hint="eastAsia"/>
                <w:sz w:val="22"/>
                <w:szCs w:val="22"/>
              </w:rPr>
              <w:t>招商银行日益月鑫理财计划A款</w:t>
            </w:r>
          </w:p>
        </w:tc>
      </w:tr>
      <w:tr w:rsidR="008E2B02" w:rsidTr="008E2B02">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理财币种</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人民币</w:t>
            </w:r>
          </w:p>
        </w:tc>
      </w:tr>
      <w:tr w:rsidR="008E2B02" w:rsidTr="008E2B02">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本金及理财收益</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b/>
                <w:bCs/>
                <w:color w:val="000000"/>
                <w:kern w:val="0"/>
                <w:sz w:val="22"/>
              </w:rPr>
            </w:pPr>
            <w:r>
              <w:rPr>
                <w:rFonts w:asciiTheme="minorEastAsia" w:eastAsiaTheme="minorEastAsia" w:hAnsiTheme="minorEastAsia" w:hint="eastAsia"/>
                <w:bCs/>
                <w:color w:val="000000"/>
                <w:sz w:val="22"/>
                <w:szCs w:val="22"/>
                <w:lang w:val="zh-CN"/>
              </w:rPr>
              <w:t>本理财计划不保障本金且不保证理财收益</w:t>
            </w:r>
            <w:r>
              <w:rPr>
                <w:rFonts w:asciiTheme="minorEastAsia" w:eastAsiaTheme="minorEastAsia" w:hAnsiTheme="minorEastAsia" w:hint="eastAsia"/>
                <w:sz w:val="22"/>
                <w:szCs w:val="22"/>
              </w:rPr>
              <w:t>，详细内容见以下“</w:t>
            </w:r>
            <w:r>
              <w:rPr>
                <w:rFonts w:asciiTheme="minorEastAsia" w:eastAsiaTheme="minorEastAsia" w:hAnsiTheme="minorEastAsia" w:hint="eastAsia"/>
                <w:b/>
                <w:sz w:val="22"/>
                <w:szCs w:val="22"/>
              </w:rPr>
              <w:t>本金及理财收益</w:t>
            </w:r>
            <w:r>
              <w:rPr>
                <w:rFonts w:asciiTheme="minorEastAsia" w:eastAsiaTheme="minorEastAsia" w:hAnsiTheme="minorEastAsia" w:hint="eastAsia"/>
                <w:sz w:val="22"/>
                <w:szCs w:val="22"/>
              </w:rPr>
              <w:t>”。</w:t>
            </w:r>
          </w:p>
        </w:tc>
      </w:tr>
      <w:tr w:rsidR="008E2B02" w:rsidTr="008E2B02">
        <w:trPr>
          <w:trHeight w:val="313"/>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lastRenderedPageBreak/>
              <w:t>理财持有期限</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sz w:val="22"/>
                <w:szCs w:val="22"/>
              </w:rPr>
              <w:t>本理财计划根据客户不同的流动性需求，提供不同的理财持有期限，目前提供的理财持有期限为7天、14天和21天</w:t>
            </w:r>
            <w:r>
              <w:rPr>
                <w:rFonts w:asciiTheme="minorEastAsia" w:eastAsiaTheme="minorEastAsia" w:hAnsiTheme="minorEastAsia" w:hint="eastAsia"/>
                <w:color w:val="000000"/>
                <w:kern w:val="0"/>
                <w:sz w:val="22"/>
                <w:szCs w:val="22"/>
                <w:lang w:val="zh-CN"/>
              </w:rPr>
              <w:t>，实际产品理财持有期限受制于提前终止和延期条款。</w:t>
            </w:r>
          </w:p>
        </w:tc>
      </w:tr>
      <w:tr w:rsidR="008E2B02" w:rsidTr="008E2B02">
        <w:trPr>
          <w:trHeight w:val="313"/>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提前终止</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本理财计划有可能提前终止，详细内容见以下</w:t>
            </w:r>
            <w:r>
              <w:rPr>
                <w:rFonts w:asciiTheme="minorEastAsia" w:eastAsiaTheme="minorEastAsia" w:hAnsiTheme="minorEastAsia" w:hint="eastAsia"/>
                <w:b/>
                <w:bCs/>
                <w:color w:val="000000"/>
                <w:kern w:val="0"/>
                <w:sz w:val="22"/>
                <w:szCs w:val="22"/>
              </w:rPr>
              <w:t>“</w:t>
            </w:r>
            <w:r>
              <w:rPr>
                <w:rFonts w:asciiTheme="minorEastAsia" w:eastAsiaTheme="minorEastAsia" w:hAnsiTheme="minorEastAsia" w:hint="eastAsia"/>
                <w:b/>
                <w:bCs/>
                <w:color w:val="000000"/>
                <w:kern w:val="0"/>
                <w:sz w:val="22"/>
                <w:szCs w:val="22"/>
                <w:lang w:val="zh-CN"/>
              </w:rPr>
              <w:t>提前终止</w:t>
            </w:r>
            <w:r>
              <w:rPr>
                <w:rFonts w:asciiTheme="minorEastAsia" w:eastAsiaTheme="minorEastAsia" w:hAnsiTheme="minorEastAsia" w:hint="eastAsia"/>
                <w:b/>
                <w:bCs/>
                <w:color w:val="000000"/>
                <w:kern w:val="0"/>
                <w:sz w:val="22"/>
                <w:szCs w:val="22"/>
              </w:rPr>
              <w:t>”</w:t>
            </w:r>
            <w:r>
              <w:rPr>
                <w:rFonts w:asciiTheme="minorEastAsia" w:eastAsiaTheme="minorEastAsia" w:hAnsiTheme="minorEastAsia" w:hint="eastAsia"/>
                <w:color w:val="000000"/>
                <w:kern w:val="0"/>
                <w:sz w:val="22"/>
                <w:szCs w:val="22"/>
                <w:lang w:val="zh-CN"/>
              </w:rPr>
              <w:t>。</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hideMark/>
          </w:tcPr>
          <w:p w:rsidR="008E2B02" w:rsidRDefault="008E2B02">
            <w:pPr>
              <w:adjustRightInd w:val="0"/>
              <w:snapToGrid w:val="0"/>
              <w:spacing w:line="300" w:lineRule="auto"/>
              <w:jc w:val="left"/>
              <w:rPr>
                <w:rFonts w:ascii="宋体" w:hAnsi="宋体"/>
                <w:sz w:val="22"/>
              </w:rPr>
            </w:pPr>
            <w:r>
              <w:rPr>
                <w:rFonts w:ascii="宋体" w:hAnsi="宋体" w:hint="eastAsia"/>
                <w:sz w:val="22"/>
                <w:szCs w:val="22"/>
              </w:rPr>
              <w:t>理财计划份额</w:t>
            </w:r>
          </w:p>
        </w:tc>
        <w:tc>
          <w:tcPr>
            <w:tcW w:w="3955" w:type="pct"/>
            <w:tcBorders>
              <w:top w:val="single" w:sz="6" w:space="0" w:color="auto"/>
              <w:left w:val="single" w:sz="6" w:space="0" w:color="auto"/>
              <w:bottom w:val="single" w:sz="6" w:space="0" w:color="auto"/>
              <w:right w:val="single" w:sz="6" w:space="0" w:color="auto"/>
            </w:tcBorders>
            <w:hideMark/>
          </w:tcPr>
          <w:p w:rsidR="008E2B02" w:rsidRDefault="008E2B02">
            <w:pPr>
              <w:adjustRightInd w:val="0"/>
              <w:snapToGrid w:val="0"/>
              <w:spacing w:line="300" w:lineRule="auto"/>
              <w:jc w:val="left"/>
              <w:rPr>
                <w:rFonts w:ascii="宋体" w:hAnsi="宋体"/>
                <w:sz w:val="22"/>
              </w:rPr>
            </w:pPr>
            <w:r>
              <w:rPr>
                <w:rFonts w:ascii="宋体" w:hAnsi="宋体" w:hint="eastAsia"/>
                <w:sz w:val="22"/>
                <w:szCs w:val="22"/>
              </w:rPr>
              <w:t>理财计划份额以人民币计价，单位为1份。</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hideMark/>
          </w:tcPr>
          <w:p w:rsidR="008E2B02" w:rsidRDefault="008E2B02">
            <w:pPr>
              <w:adjustRightInd w:val="0"/>
              <w:snapToGrid w:val="0"/>
              <w:spacing w:line="300" w:lineRule="auto"/>
              <w:jc w:val="left"/>
              <w:rPr>
                <w:rFonts w:ascii="宋体" w:hAnsi="宋体"/>
                <w:sz w:val="22"/>
              </w:rPr>
            </w:pPr>
            <w:r>
              <w:rPr>
                <w:rFonts w:ascii="宋体" w:hAnsi="宋体" w:hint="eastAsia"/>
                <w:sz w:val="22"/>
                <w:szCs w:val="22"/>
              </w:rPr>
              <w:t>理财计划份额面值</w:t>
            </w:r>
          </w:p>
        </w:tc>
        <w:tc>
          <w:tcPr>
            <w:tcW w:w="3955" w:type="pct"/>
            <w:tcBorders>
              <w:top w:val="single" w:sz="6" w:space="0" w:color="auto"/>
              <w:left w:val="single" w:sz="6" w:space="0" w:color="auto"/>
              <w:bottom w:val="single" w:sz="6" w:space="0" w:color="auto"/>
              <w:right w:val="single" w:sz="6" w:space="0" w:color="auto"/>
            </w:tcBorders>
            <w:hideMark/>
          </w:tcPr>
          <w:p w:rsidR="008E2B02" w:rsidRDefault="008E2B02">
            <w:pPr>
              <w:adjustRightInd w:val="0"/>
              <w:snapToGrid w:val="0"/>
              <w:spacing w:line="300" w:lineRule="auto"/>
              <w:jc w:val="left"/>
              <w:rPr>
                <w:rFonts w:ascii="宋体" w:hAnsi="宋体"/>
                <w:sz w:val="22"/>
              </w:rPr>
            </w:pPr>
            <w:r>
              <w:rPr>
                <w:rFonts w:ascii="宋体" w:hAnsi="宋体" w:hint="eastAsia"/>
                <w:sz w:val="22"/>
                <w:szCs w:val="22"/>
              </w:rPr>
              <w:t>每份理财计划份额面值为人民币1元。</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认购时间</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Pr>
                <w:rFonts w:asciiTheme="minorEastAsia" w:eastAsiaTheme="minorEastAsia" w:hAnsiTheme="minorEastAsia" w:hint="eastAsia"/>
                <w:color w:val="000000"/>
                <w:kern w:val="0"/>
                <w:sz w:val="22"/>
                <w:szCs w:val="22"/>
                <w:lang w:val="zh-CN"/>
              </w:rPr>
              <w:t>2013年7月29日9:30到22:30为本理财计划的认购时间。</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认购登记日</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Pr>
                <w:rFonts w:asciiTheme="minorEastAsia" w:eastAsiaTheme="minorEastAsia" w:hAnsiTheme="minorEastAsia" w:hint="eastAsia"/>
                <w:color w:val="000000"/>
                <w:kern w:val="0"/>
                <w:sz w:val="22"/>
                <w:szCs w:val="22"/>
                <w:lang w:val="zh-CN"/>
              </w:rPr>
              <w:t>2013年7月30日</w:t>
            </w:r>
            <w:r>
              <w:rPr>
                <w:rFonts w:asciiTheme="minorEastAsia" w:eastAsiaTheme="minorEastAsia" w:hAnsiTheme="minorEastAsia" w:hint="eastAsia"/>
                <w:noProof/>
                <w:color w:val="000000"/>
                <w:kern w:val="0"/>
                <w:sz w:val="22"/>
                <w:szCs w:val="22"/>
                <w:lang w:val="zh-CN"/>
              </w:rPr>
              <w:t>。</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成立日</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pStyle w:val="Default"/>
              <w:spacing w:line="300" w:lineRule="auto"/>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lang w:val="zh-CN"/>
              </w:rPr>
              <w:t>2013年7月30日</w:t>
            </w:r>
            <w:r>
              <w:rPr>
                <w:rFonts w:asciiTheme="minorEastAsia" w:eastAsiaTheme="minorEastAsia" w:hAnsiTheme="minorEastAsia" w:hint="eastAsia"/>
                <w:kern w:val="2"/>
                <w:sz w:val="22"/>
                <w:szCs w:val="22"/>
              </w:rPr>
              <w:t xml:space="preserve">，理财计划自成立日起计算收益（如有，下同）。 </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到期日</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pStyle w:val="Default"/>
              <w:spacing w:line="300" w:lineRule="auto"/>
              <w:jc w:val="both"/>
              <w:rPr>
                <w:rFonts w:asciiTheme="minorEastAsia" w:eastAsiaTheme="minorEastAsia" w:hAnsiTheme="minorEastAsia"/>
                <w:kern w:val="2"/>
                <w:sz w:val="22"/>
                <w:szCs w:val="22"/>
                <w:lang w:val="zh-CN"/>
              </w:rPr>
            </w:pPr>
            <w:r>
              <w:rPr>
                <w:rFonts w:asciiTheme="minorEastAsia" w:eastAsiaTheme="minorEastAsia" w:hAnsiTheme="minorEastAsia" w:hint="eastAsia"/>
                <w:kern w:val="2"/>
                <w:sz w:val="22"/>
                <w:szCs w:val="22"/>
                <w:lang w:val="zh-CN"/>
              </w:rPr>
              <w:t>2043年7月30日，实际产品到期日受制于银行提前终止和延期条款。</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申购/赎回</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djustRightInd w:val="0"/>
              <w:snapToGrid w:val="0"/>
              <w:spacing w:line="300" w:lineRule="auto"/>
              <w:jc w:val="left"/>
              <w:rPr>
                <w:rFonts w:asciiTheme="minorEastAsia" w:eastAsiaTheme="minorEastAsia" w:hAnsiTheme="minorEastAsia"/>
                <w:b/>
                <w:sz w:val="22"/>
              </w:rPr>
            </w:pPr>
            <w:r>
              <w:rPr>
                <w:rFonts w:asciiTheme="minorEastAsia" w:eastAsiaTheme="minorEastAsia" w:hAnsiTheme="minorEastAsia" w:hint="eastAsia"/>
                <w:sz w:val="22"/>
                <w:szCs w:val="22"/>
              </w:rPr>
              <w:t>本理财计划成立后</w:t>
            </w:r>
            <w:r>
              <w:rPr>
                <w:rFonts w:asciiTheme="minorEastAsia" w:eastAsiaTheme="minorEastAsia" w:hAnsiTheme="minorEastAsia" w:hint="eastAsia"/>
                <w:color w:val="000000"/>
                <w:kern w:val="0"/>
                <w:sz w:val="22"/>
                <w:szCs w:val="22"/>
                <w:lang w:val="zh-CN"/>
              </w:rPr>
              <w:t>每日9:30到22:30开放</w:t>
            </w:r>
            <w:r>
              <w:rPr>
                <w:rFonts w:asciiTheme="minorEastAsia" w:eastAsiaTheme="minorEastAsia" w:hAnsiTheme="minorEastAsia" w:hint="eastAsia"/>
                <w:sz w:val="22"/>
                <w:szCs w:val="22"/>
                <w:lang w:val="zh-CN"/>
              </w:rPr>
              <w:t>申购，</w:t>
            </w:r>
            <w:r>
              <w:rPr>
                <w:rFonts w:asciiTheme="minorEastAsia" w:eastAsiaTheme="minorEastAsia" w:hAnsiTheme="minorEastAsia" w:hint="eastAsia"/>
                <w:sz w:val="22"/>
                <w:szCs w:val="22"/>
              </w:rPr>
              <w:t>根据投资者不同的流动性需求，本理财计划提供不同的理财持有期限，目前提供的理财持有期限为7天、14天和21天。投资者选择对应销售代码认购/申购本理财计划成功后，投资者持有的理财产品份额将在对应理财持有期限后自动赎回，遇节假日顺延至下一工作日。</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认购/申购方式</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djustRightInd w:val="0"/>
              <w:snapToGrid w:val="0"/>
              <w:spacing w:line="300" w:lineRule="auto"/>
              <w:jc w:val="left"/>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在理财计划认购/申购期内：</w:t>
            </w:r>
          </w:p>
          <w:p w:rsidR="008E2B02" w:rsidRDefault="008E2B02">
            <w:pPr>
              <w:adjustRightInd w:val="0"/>
              <w:snapToGrid w:val="0"/>
              <w:spacing w:line="300" w:lineRule="auto"/>
              <w:jc w:val="left"/>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（1）个人投资者可通过招商银行当地营业网点、招商银行财富账户、个人银行专业版、大众版或者招商银行认可的其他方式办理认购/申购本理财计划份额，</w:t>
            </w:r>
            <w:r>
              <w:rPr>
                <w:rFonts w:asciiTheme="minorEastAsia" w:eastAsiaTheme="minorEastAsia" w:hAnsiTheme="minorEastAsia" w:hint="eastAsia"/>
                <w:color w:val="000000"/>
                <w:kern w:val="0"/>
                <w:sz w:val="22"/>
                <w:szCs w:val="22"/>
                <w:lang w:val="zh-CN"/>
              </w:rPr>
              <w:t>如投资者选择7天的理财持有期限，则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8901</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8902</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8903</w:t>
            </w:r>
            <w:r>
              <w:rPr>
                <w:rFonts w:asciiTheme="minorEastAsia" w:eastAsiaTheme="minorEastAsia" w:hAnsiTheme="minorEastAsia" w:hint="eastAsia"/>
                <w:noProof/>
                <w:color w:val="000000"/>
                <w:kern w:val="0"/>
                <w:sz w:val="22"/>
                <w:szCs w:val="22"/>
                <w:lang w:val="zh-CN"/>
              </w:rPr>
              <w:t>。</w:t>
            </w:r>
          </w:p>
          <w:p w:rsidR="008E2B02" w:rsidRDefault="008E2B02">
            <w:pPr>
              <w:adjustRightInd w:val="0"/>
              <w:snapToGrid w:val="0"/>
              <w:spacing w:line="300" w:lineRule="auto"/>
              <w:jc w:val="left"/>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（2）企业投资者可通过招商银行当地营业网点、招商银行网上银行或者招商银行认可的其他方式办理认购/申购本理财计划份额，</w:t>
            </w:r>
            <w:r>
              <w:rPr>
                <w:rFonts w:asciiTheme="minorEastAsia" w:eastAsiaTheme="minorEastAsia" w:hAnsiTheme="minorEastAsia" w:hint="eastAsia"/>
                <w:color w:val="000000"/>
                <w:kern w:val="0"/>
                <w:sz w:val="22"/>
                <w:szCs w:val="22"/>
                <w:lang w:val="zh-CN"/>
              </w:rPr>
              <w:t>如投资者选择7天的理财持有期限，则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90007</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90014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90021</w:t>
            </w:r>
            <w:r>
              <w:rPr>
                <w:rFonts w:asciiTheme="minorEastAsia" w:eastAsiaTheme="minorEastAsia" w:hAnsiTheme="minorEastAsia" w:hint="eastAsia"/>
                <w:noProof/>
                <w:color w:val="000000"/>
                <w:kern w:val="0"/>
                <w:sz w:val="22"/>
                <w:szCs w:val="22"/>
                <w:lang w:val="zh-CN"/>
              </w:rPr>
              <w:t>。</w:t>
            </w:r>
          </w:p>
          <w:p w:rsidR="008E2B02" w:rsidRDefault="008E2B02">
            <w:pPr>
              <w:adjustRightInd w:val="0"/>
              <w:snapToGrid w:val="0"/>
              <w:spacing w:line="300" w:lineRule="auto"/>
              <w:jc w:val="left"/>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(3) 同业投资者可通过招商银行当地营业网点、招商银行网上银行或者招商银行认可的其他方式办理认购/申购本理财计划份额，</w:t>
            </w:r>
            <w:r>
              <w:rPr>
                <w:rFonts w:asciiTheme="minorEastAsia" w:eastAsiaTheme="minorEastAsia" w:hAnsiTheme="minorEastAsia" w:hint="eastAsia"/>
                <w:color w:val="000000"/>
                <w:kern w:val="0"/>
                <w:sz w:val="22"/>
                <w:szCs w:val="22"/>
                <w:lang w:val="zh-CN"/>
              </w:rPr>
              <w:t>如投资者选择7天的理财持有期限，则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22007</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22021</w:t>
            </w:r>
            <w:r>
              <w:rPr>
                <w:rFonts w:asciiTheme="minorEastAsia" w:eastAsiaTheme="minorEastAsia" w:hAnsiTheme="minorEastAsia" w:hint="eastAsia"/>
                <w:noProof/>
                <w:color w:val="000000"/>
                <w:kern w:val="0"/>
                <w:sz w:val="22"/>
                <w:szCs w:val="22"/>
                <w:lang w:val="zh-CN"/>
              </w:rPr>
              <w:t>。</w:t>
            </w:r>
          </w:p>
          <w:p w:rsidR="008E2B02" w:rsidRDefault="008E2B02">
            <w:pPr>
              <w:adjustRightInd w:val="0"/>
              <w:snapToGrid w:val="0"/>
              <w:spacing w:line="300" w:lineRule="auto"/>
              <w:jc w:val="left"/>
              <w:rPr>
                <w:rFonts w:asciiTheme="minorEastAsia" w:eastAsiaTheme="minorEastAsia" w:hAnsiTheme="minorEastAsia"/>
                <w:b/>
                <w:noProof/>
                <w:color w:val="000000"/>
                <w:kern w:val="0"/>
                <w:sz w:val="22"/>
                <w:lang w:val="zh-CN"/>
              </w:rPr>
            </w:pPr>
            <w:r>
              <w:rPr>
                <w:rFonts w:ascii="宋体" w:hAnsi="宋体" w:hint="eastAsia"/>
                <w:b/>
                <w:sz w:val="22"/>
                <w:szCs w:val="22"/>
              </w:rPr>
              <w:t>上述不同的购买方式视为不同的销售渠道。</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认购/申购起点</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kern w:val="0"/>
                <w:sz w:val="22"/>
                <w:szCs w:val="22"/>
                <w:lang w:val="zh-CN"/>
              </w:rPr>
              <w:t>1元人民币为1份，认购/申购起点份额为5万份，超过认购/申购起点份额部分，应为</w:t>
            </w:r>
            <w:r w:rsidR="00FF62D6">
              <w:fldChar w:fldCharType="begin"/>
            </w:r>
            <w:r>
              <w:rPr>
                <w:rFonts w:asciiTheme="minorEastAsia" w:eastAsiaTheme="minorEastAsia" w:hAnsiTheme="minorEastAsia" w:hint="eastAsia"/>
                <w:kern w:val="0"/>
                <w:sz w:val="22"/>
                <w:szCs w:val="22"/>
                <w:lang w:val="zh-CN"/>
              </w:rPr>
              <w:instrText xml:space="preserve"> MERGEFIELD 追加金额 </w:instrText>
            </w:r>
            <w:r w:rsidR="00FF62D6">
              <w:fldChar w:fldCharType="separate"/>
            </w:r>
            <w:r>
              <w:rPr>
                <w:rFonts w:asciiTheme="minorEastAsia" w:eastAsiaTheme="minorEastAsia" w:hAnsiTheme="minorEastAsia" w:hint="eastAsia"/>
                <w:noProof/>
                <w:kern w:val="0"/>
                <w:sz w:val="22"/>
                <w:szCs w:val="22"/>
                <w:lang w:val="zh-CN"/>
              </w:rPr>
              <w:t>1</w:t>
            </w:r>
            <w:r w:rsidR="00FF62D6">
              <w:fldChar w:fldCharType="end"/>
            </w:r>
            <w:r>
              <w:rPr>
                <w:rFonts w:asciiTheme="minorEastAsia" w:eastAsiaTheme="minorEastAsia" w:hAnsiTheme="minorEastAsia" w:hint="eastAsia"/>
                <w:kern w:val="0"/>
                <w:sz w:val="22"/>
                <w:szCs w:val="22"/>
                <w:lang w:val="zh-CN"/>
              </w:rPr>
              <w:t>万份的整数倍。</w:t>
            </w:r>
          </w:p>
        </w:tc>
      </w:tr>
      <w:tr w:rsidR="008E2B02" w:rsidTr="008E2B02">
        <w:trPr>
          <w:trHeight w:val="288"/>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发行规模</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宋体" w:hAnsi="宋体"/>
                <w:sz w:val="22"/>
              </w:rPr>
            </w:pPr>
            <w:r>
              <w:rPr>
                <w:rFonts w:ascii="宋体" w:hAnsi="宋体" w:hint="eastAsia"/>
                <w:sz w:val="22"/>
                <w:szCs w:val="22"/>
              </w:rPr>
              <w:t>发行规模不设下限，本理财计划总发行规模上限为</w:t>
            </w:r>
            <w:r w:rsidR="00016E59">
              <w:rPr>
                <w:rFonts w:ascii="宋体" w:hAnsi="宋体" w:hint="eastAsia"/>
                <w:sz w:val="22"/>
                <w:szCs w:val="22"/>
              </w:rPr>
              <w:t>290</w:t>
            </w:r>
            <w:r>
              <w:rPr>
                <w:rFonts w:ascii="宋体" w:hAnsi="宋体" w:hint="eastAsia"/>
                <w:sz w:val="22"/>
                <w:szCs w:val="22"/>
              </w:rPr>
              <w:t>亿元人民币，对应各销售渠道发行规模上限如下：</w:t>
            </w:r>
          </w:p>
          <w:p w:rsidR="008E2B02" w:rsidRDefault="008E2B02">
            <w:pPr>
              <w:autoSpaceDE w:val="0"/>
              <w:autoSpaceDN w:val="0"/>
              <w:adjustRightInd w:val="0"/>
              <w:snapToGrid w:val="0"/>
              <w:spacing w:line="300" w:lineRule="auto"/>
              <w:rPr>
                <w:rFonts w:ascii="宋体" w:hAnsi="宋体"/>
                <w:sz w:val="22"/>
              </w:rPr>
            </w:pPr>
            <w:r>
              <w:rPr>
                <w:rFonts w:ascii="宋体" w:hAnsi="宋体" w:hint="eastAsia"/>
                <w:sz w:val="22"/>
                <w:szCs w:val="22"/>
              </w:rPr>
              <w:t>（1）对于个人投资者，销售代码8901发行规模上限为30亿元，销售代</w:t>
            </w:r>
            <w:r>
              <w:rPr>
                <w:rFonts w:ascii="宋体" w:hAnsi="宋体" w:hint="eastAsia"/>
                <w:sz w:val="22"/>
                <w:szCs w:val="22"/>
              </w:rPr>
              <w:lastRenderedPageBreak/>
              <w:t>码8902发行规模上限为50亿元，销售代码8903发行规模上限为50亿元，合计发行规模上限为130亿元；</w:t>
            </w:r>
          </w:p>
          <w:p w:rsidR="008E2B02" w:rsidRDefault="008E2B02">
            <w:pPr>
              <w:autoSpaceDE w:val="0"/>
              <w:autoSpaceDN w:val="0"/>
              <w:adjustRightInd w:val="0"/>
              <w:snapToGrid w:val="0"/>
              <w:spacing w:line="300" w:lineRule="auto"/>
              <w:rPr>
                <w:rFonts w:ascii="宋体" w:hAnsi="宋体"/>
                <w:sz w:val="22"/>
              </w:rPr>
            </w:pPr>
            <w:r>
              <w:rPr>
                <w:rFonts w:ascii="宋体" w:hAnsi="宋体" w:hint="eastAsia"/>
                <w:sz w:val="22"/>
                <w:szCs w:val="22"/>
              </w:rPr>
              <w:t>（2）对于企业投资者，销售代码90007发行规模上限为</w:t>
            </w:r>
            <w:r w:rsidR="00016E59">
              <w:rPr>
                <w:rFonts w:ascii="宋体" w:hAnsi="宋体" w:hint="eastAsia"/>
                <w:sz w:val="22"/>
                <w:szCs w:val="22"/>
              </w:rPr>
              <w:t>20</w:t>
            </w:r>
            <w:r>
              <w:rPr>
                <w:rFonts w:ascii="宋体" w:hAnsi="宋体" w:hint="eastAsia"/>
                <w:sz w:val="22"/>
                <w:szCs w:val="22"/>
              </w:rPr>
              <w:t>亿元，销售代码90014发行规模上限为</w:t>
            </w:r>
            <w:r w:rsidR="00016E59">
              <w:rPr>
                <w:rFonts w:ascii="宋体" w:hAnsi="宋体" w:hint="eastAsia"/>
                <w:sz w:val="22"/>
                <w:szCs w:val="22"/>
              </w:rPr>
              <w:t>30</w:t>
            </w:r>
            <w:r>
              <w:rPr>
                <w:rFonts w:ascii="宋体" w:hAnsi="宋体" w:hint="eastAsia"/>
                <w:sz w:val="22"/>
                <w:szCs w:val="22"/>
              </w:rPr>
              <w:t>亿元，销售代码90021发行规模上限为</w:t>
            </w:r>
            <w:r w:rsidR="00016E59">
              <w:rPr>
                <w:rFonts w:ascii="宋体" w:hAnsi="宋体" w:hint="eastAsia"/>
                <w:sz w:val="22"/>
                <w:szCs w:val="22"/>
              </w:rPr>
              <w:t>50</w:t>
            </w:r>
            <w:r>
              <w:rPr>
                <w:rFonts w:ascii="宋体" w:hAnsi="宋体" w:hint="eastAsia"/>
                <w:sz w:val="22"/>
                <w:szCs w:val="22"/>
              </w:rPr>
              <w:t>亿元，合计发行规模上限为</w:t>
            </w:r>
            <w:r w:rsidR="00016E59">
              <w:rPr>
                <w:rFonts w:ascii="宋体" w:hAnsi="宋体" w:hint="eastAsia"/>
                <w:sz w:val="22"/>
                <w:szCs w:val="22"/>
              </w:rPr>
              <w:t>100</w:t>
            </w:r>
            <w:r>
              <w:rPr>
                <w:rFonts w:ascii="宋体" w:hAnsi="宋体" w:hint="eastAsia"/>
                <w:sz w:val="22"/>
                <w:szCs w:val="22"/>
              </w:rPr>
              <w:t>亿元。</w:t>
            </w:r>
          </w:p>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宋体" w:hAnsi="宋体" w:hint="eastAsia"/>
                <w:sz w:val="22"/>
                <w:szCs w:val="22"/>
              </w:rPr>
              <w:t>（3）对于同业投资者，销售代码22007发行规模上限为20亿元，销售代码22014发行规模上限为20亿元，销售代码22021发行规模上限为20亿元，合计发行规模上限为60亿元。</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hideMark/>
          </w:tcPr>
          <w:p w:rsidR="008E2B02" w:rsidRDefault="008E2B02">
            <w:pPr>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lastRenderedPageBreak/>
              <w:t>单笔认购/申购上限</w:t>
            </w:r>
          </w:p>
        </w:tc>
        <w:tc>
          <w:tcPr>
            <w:tcW w:w="3955" w:type="pct"/>
            <w:tcBorders>
              <w:top w:val="single" w:sz="6" w:space="0" w:color="auto"/>
              <w:left w:val="single" w:sz="6" w:space="0" w:color="auto"/>
              <w:bottom w:val="single" w:sz="6" w:space="0" w:color="auto"/>
              <w:right w:val="single" w:sz="6" w:space="0" w:color="auto"/>
            </w:tcBorders>
            <w:hideMark/>
          </w:tcPr>
          <w:p w:rsidR="008E2B02" w:rsidRDefault="008E2B02">
            <w:pPr>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sz w:val="22"/>
                <w:szCs w:val="22"/>
              </w:rPr>
              <w:t>个人投资者购买本理财计划，</w:t>
            </w:r>
            <w:r>
              <w:rPr>
                <w:rFonts w:asciiTheme="minorEastAsia" w:eastAsiaTheme="minorEastAsia" w:hAnsiTheme="minorEastAsia" w:hint="eastAsia"/>
                <w:color w:val="000000"/>
                <w:kern w:val="0"/>
                <w:sz w:val="22"/>
                <w:szCs w:val="22"/>
                <w:lang w:val="zh-CN"/>
              </w:rPr>
              <w:t>单笔认购/申购上限为1亿元和本理财计划规模上限（如有）二者的较小值，详细内容见以下</w:t>
            </w:r>
            <w:r>
              <w:rPr>
                <w:rFonts w:asciiTheme="minorEastAsia" w:eastAsiaTheme="minorEastAsia" w:hAnsiTheme="minorEastAsia" w:hint="eastAsia"/>
                <w:b/>
                <w:color w:val="000000"/>
                <w:kern w:val="0"/>
                <w:sz w:val="22"/>
                <w:szCs w:val="22"/>
                <w:lang w:val="zh-CN"/>
              </w:rPr>
              <w:t>“理财计划认购”</w:t>
            </w:r>
            <w:r>
              <w:rPr>
                <w:rFonts w:asciiTheme="minorEastAsia" w:eastAsiaTheme="minorEastAsia" w:hAnsiTheme="minorEastAsia" w:hint="eastAsia"/>
                <w:color w:val="000000"/>
                <w:kern w:val="0"/>
                <w:sz w:val="22"/>
                <w:szCs w:val="22"/>
                <w:lang w:val="zh-CN"/>
              </w:rPr>
              <w:t>。</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rPr>
              <w:t>申购</w:t>
            </w:r>
            <w:r>
              <w:rPr>
                <w:rFonts w:asciiTheme="minorEastAsia" w:eastAsiaTheme="minorEastAsia" w:hAnsiTheme="minorEastAsia" w:hint="eastAsia"/>
                <w:color w:val="000000"/>
                <w:kern w:val="0"/>
                <w:sz w:val="22"/>
                <w:szCs w:val="22"/>
                <w:lang w:val="zh-CN"/>
              </w:rPr>
              <w:t>登记日</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理财计划申购后的下一工作日为登记日，</w:t>
            </w:r>
            <w:r>
              <w:rPr>
                <w:rFonts w:asciiTheme="minorEastAsia" w:eastAsiaTheme="minorEastAsia" w:hAnsiTheme="minorEastAsia" w:hint="eastAsia"/>
                <w:sz w:val="22"/>
                <w:szCs w:val="22"/>
              </w:rPr>
              <w:t>自登记日起计算收益。（如有，下同）。</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rPr>
              <w:t>赎回登记日</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noProof/>
                <w:color w:val="000000"/>
                <w:kern w:val="0"/>
                <w:sz w:val="22"/>
                <w:lang w:val="zh-CN"/>
              </w:rPr>
            </w:pPr>
            <w:r>
              <w:rPr>
                <w:rFonts w:asciiTheme="minorEastAsia" w:eastAsiaTheme="minorEastAsia" w:hAnsiTheme="minorEastAsia" w:hint="eastAsia"/>
                <w:noProof/>
                <w:color w:val="000000"/>
                <w:kern w:val="0"/>
                <w:sz w:val="22"/>
                <w:szCs w:val="22"/>
                <w:lang w:val="zh-CN"/>
              </w:rPr>
              <w:t>投资者</w:t>
            </w:r>
            <w:r>
              <w:rPr>
                <w:rFonts w:asciiTheme="minorEastAsia" w:eastAsiaTheme="minorEastAsia" w:hAnsiTheme="minorEastAsia" w:hint="eastAsia"/>
                <w:sz w:val="22"/>
                <w:szCs w:val="22"/>
              </w:rPr>
              <w:t>认购/申购本理财计划成功后，经过对应理财持有期限后的首个工作日为本理财计划的赎回登记日。</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收益计算基础</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实际理财天数/365</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本金及理财收益支付</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理财产品赎回/到期时一次性支付。详细内容见以下</w:t>
            </w:r>
            <w:r>
              <w:rPr>
                <w:rFonts w:asciiTheme="minorEastAsia" w:eastAsiaTheme="minorEastAsia" w:hAnsiTheme="minorEastAsia" w:hint="eastAsia"/>
                <w:b/>
                <w:bCs/>
                <w:color w:val="000000"/>
                <w:kern w:val="0"/>
                <w:sz w:val="22"/>
                <w:szCs w:val="22"/>
              </w:rPr>
              <w:t>“</w:t>
            </w:r>
            <w:r>
              <w:rPr>
                <w:rFonts w:asciiTheme="minorEastAsia" w:eastAsiaTheme="minorEastAsia" w:hAnsiTheme="minorEastAsia" w:hint="eastAsia"/>
                <w:b/>
                <w:bCs/>
                <w:color w:val="000000"/>
                <w:kern w:val="0"/>
                <w:sz w:val="22"/>
                <w:szCs w:val="22"/>
                <w:lang w:val="zh-CN"/>
              </w:rPr>
              <w:t>本金及理财收益支付</w:t>
            </w:r>
            <w:r>
              <w:rPr>
                <w:rFonts w:asciiTheme="minorEastAsia" w:eastAsiaTheme="minorEastAsia" w:hAnsiTheme="minorEastAsia" w:hint="eastAsia"/>
                <w:b/>
                <w:bCs/>
                <w:color w:val="000000"/>
                <w:kern w:val="0"/>
                <w:sz w:val="22"/>
                <w:szCs w:val="22"/>
              </w:rPr>
              <w:t>”</w:t>
            </w:r>
            <w:r>
              <w:rPr>
                <w:rFonts w:asciiTheme="minorEastAsia" w:eastAsiaTheme="minorEastAsia" w:hAnsiTheme="minorEastAsia" w:hint="eastAsia"/>
                <w:color w:val="000000"/>
                <w:kern w:val="0"/>
                <w:sz w:val="22"/>
                <w:szCs w:val="22"/>
                <w:lang w:val="zh-CN"/>
              </w:rPr>
              <w:t>。</w:t>
            </w:r>
          </w:p>
        </w:tc>
      </w:tr>
      <w:tr w:rsidR="008E2B02" w:rsidTr="008E2B02">
        <w:trPr>
          <w:trHeight w:val="72"/>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投资管理费率</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sz w:val="22"/>
                <w:szCs w:val="22"/>
              </w:rPr>
              <w:t>本理财计划根据不同的理财持有期限，收取不同的投资管理费，</w:t>
            </w:r>
            <w:r>
              <w:rPr>
                <w:rFonts w:asciiTheme="minorEastAsia" w:eastAsiaTheme="minorEastAsia" w:hAnsiTheme="minorEastAsia" w:hint="eastAsia"/>
                <w:color w:val="000000"/>
                <w:kern w:val="0"/>
                <w:sz w:val="22"/>
                <w:szCs w:val="22"/>
                <w:lang w:val="zh-CN"/>
              </w:rPr>
              <w:t>如投资者选择7天的理财持有期限，则投资管理费率为0.5%/年</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如投资者选择14天的理财持有期限，则投资管理费率为0.4%/年</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如投资者选择21天的理财持有期限，则投资管理费率为0.3%/年</w:t>
            </w:r>
            <w:r>
              <w:rPr>
                <w:rFonts w:asciiTheme="minorEastAsia" w:eastAsiaTheme="minorEastAsia" w:hAnsiTheme="minorEastAsia" w:hint="eastAsia"/>
                <w:noProof/>
                <w:color w:val="000000"/>
                <w:kern w:val="0"/>
                <w:sz w:val="22"/>
                <w:szCs w:val="22"/>
                <w:lang w:val="zh-CN"/>
              </w:rPr>
              <w:t>。</w:t>
            </w:r>
          </w:p>
        </w:tc>
      </w:tr>
      <w:tr w:rsidR="008E2B02" w:rsidTr="008E2B02">
        <w:trPr>
          <w:trHeight w:val="72"/>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kern w:val="0"/>
                <w:sz w:val="22"/>
                <w:lang w:val="zh-CN"/>
              </w:rPr>
            </w:pPr>
            <w:r>
              <w:rPr>
                <w:rFonts w:asciiTheme="minorEastAsia" w:eastAsiaTheme="minorEastAsia" w:hAnsiTheme="minorEastAsia" w:hint="eastAsia"/>
                <w:kern w:val="0"/>
                <w:sz w:val="22"/>
                <w:szCs w:val="22"/>
                <w:lang w:val="zh-CN"/>
              </w:rPr>
              <w:t>收益计算单位</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lang w:val="zh-CN"/>
              </w:rPr>
            </w:pPr>
            <w:r>
              <w:rPr>
                <w:rFonts w:asciiTheme="minorEastAsia" w:eastAsiaTheme="minorEastAsia" w:hAnsiTheme="minorEastAsia" w:hint="eastAsia"/>
                <w:color w:val="000000"/>
                <w:kern w:val="0"/>
                <w:sz w:val="22"/>
                <w:szCs w:val="22"/>
                <w:lang w:val="zh-CN"/>
              </w:rPr>
              <w:t>每</w:t>
            </w:r>
            <w:r w:rsidR="00FF62D6">
              <w:fldChar w:fldCharType="begin"/>
            </w:r>
            <w:r>
              <w:rPr>
                <w:rFonts w:asciiTheme="minorEastAsia" w:eastAsiaTheme="minorEastAsia" w:hAnsiTheme="minorEastAsia" w:hint="eastAsia"/>
                <w:kern w:val="0"/>
                <w:sz w:val="22"/>
                <w:szCs w:val="22"/>
                <w:lang w:val="zh-CN"/>
              </w:rPr>
              <w:instrText xml:space="preserve"> MERGEFIELD 计息单位 </w:instrText>
            </w:r>
            <w:r w:rsidR="00FF62D6">
              <w:fldChar w:fldCharType="separate"/>
            </w:r>
            <w:r>
              <w:rPr>
                <w:rFonts w:asciiTheme="minorEastAsia" w:eastAsiaTheme="minorEastAsia" w:hAnsiTheme="minorEastAsia" w:hint="eastAsia"/>
                <w:noProof/>
                <w:kern w:val="0"/>
                <w:sz w:val="22"/>
                <w:szCs w:val="22"/>
                <w:lang w:val="zh-CN"/>
              </w:rPr>
              <w:t>10000</w:t>
            </w:r>
            <w:r w:rsidR="00FF62D6">
              <w:fldChar w:fldCharType="end"/>
            </w:r>
            <w:r>
              <w:rPr>
                <w:rFonts w:asciiTheme="minorEastAsia" w:eastAsiaTheme="minorEastAsia" w:hAnsiTheme="minorEastAsia" w:hint="eastAsia"/>
                <w:kern w:val="0"/>
                <w:sz w:val="22"/>
                <w:szCs w:val="22"/>
                <w:lang w:val="zh-CN"/>
              </w:rPr>
              <w:t>份为1个收益计算单位</w:t>
            </w:r>
            <w:r>
              <w:rPr>
                <w:rFonts w:asciiTheme="minorEastAsia" w:eastAsiaTheme="minorEastAsia" w:hAnsiTheme="minorEastAsia" w:hint="eastAsia"/>
                <w:color w:val="000000"/>
                <w:kern w:val="0"/>
                <w:sz w:val="22"/>
                <w:szCs w:val="22"/>
                <w:lang w:val="zh-CN"/>
              </w:rPr>
              <w:t>，每单位收益精确到小数点后两位。</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节假日</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中国法定公众假日</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对账单</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本理财计划不提供对账单。</w:t>
            </w:r>
          </w:p>
        </w:tc>
      </w:tr>
      <w:tr w:rsidR="008E2B02" w:rsidTr="008E2B02">
        <w:trPr>
          <w:trHeight w:val="57"/>
        </w:trPr>
        <w:tc>
          <w:tcPr>
            <w:tcW w:w="1045" w:type="pct"/>
            <w:tcBorders>
              <w:top w:val="single" w:sz="6" w:space="0" w:color="auto"/>
              <w:left w:val="single" w:sz="6" w:space="0" w:color="auto"/>
              <w:bottom w:val="single" w:sz="6" w:space="0" w:color="auto"/>
              <w:right w:val="single" w:sz="6" w:space="0" w:color="auto"/>
            </w:tcBorders>
            <w:vAlign w:val="center"/>
            <w:hideMark/>
          </w:tcPr>
          <w:p w:rsidR="008E2B02" w:rsidRDefault="008E2B02">
            <w:pPr>
              <w:autoSpaceDE w:val="0"/>
              <w:autoSpaceDN w:val="0"/>
              <w:adjustRightInd w:val="0"/>
              <w:snapToGrid w:val="0"/>
              <w:spacing w:line="300" w:lineRule="auto"/>
              <w:jc w:val="left"/>
              <w:rPr>
                <w:rFonts w:asciiTheme="minorEastAsia" w:eastAsiaTheme="minorEastAsia" w:hAnsiTheme="minorEastAsia"/>
                <w:color w:val="000000"/>
                <w:kern w:val="0"/>
                <w:sz w:val="22"/>
              </w:rPr>
            </w:pPr>
            <w:r>
              <w:rPr>
                <w:rFonts w:asciiTheme="minorEastAsia" w:eastAsiaTheme="minorEastAsia" w:hAnsiTheme="minorEastAsia" w:hint="eastAsia"/>
                <w:color w:val="000000"/>
                <w:kern w:val="0"/>
                <w:sz w:val="22"/>
                <w:szCs w:val="22"/>
                <w:lang w:val="zh-CN"/>
              </w:rPr>
              <w:t>税款</w:t>
            </w:r>
          </w:p>
        </w:tc>
        <w:tc>
          <w:tcPr>
            <w:tcW w:w="3955" w:type="pct"/>
            <w:tcBorders>
              <w:top w:val="single" w:sz="6" w:space="0" w:color="auto"/>
              <w:left w:val="single" w:sz="6" w:space="0" w:color="auto"/>
              <w:bottom w:val="single" w:sz="6" w:space="0" w:color="auto"/>
              <w:right w:val="single" w:sz="6" w:space="0" w:color="auto"/>
            </w:tcBorders>
            <w:vAlign w:val="center"/>
            <w:hideMark/>
          </w:tcPr>
          <w:p w:rsidR="008E2B02" w:rsidRPr="008877DD" w:rsidRDefault="008877DD" w:rsidP="008877DD">
            <w:pPr>
              <w:spacing w:line="360" w:lineRule="auto"/>
              <w:rPr>
                <w:rFonts w:asciiTheme="minorEastAsia" w:eastAsiaTheme="minorEastAsia" w:hAnsiTheme="minorEastAsia"/>
                <w:color w:val="000000"/>
                <w:kern w:val="0"/>
                <w:sz w:val="22"/>
              </w:rPr>
            </w:pPr>
            <w:r w:rsidRPr="005E3760">
              <w:rPr>
                <w:rFonts w:asciiTheme="minorEastAsia" w:eastAsiaTheme="minorEastAsia" w:hAnsiTheme="minorEastAsia" w:hint="eastAsia"/>
                <w:sz w:val="22"/>
                <w:szCs w:val="22"/>
              </w:rPr>
              <w:t>本理财计划运作过程中涉及的各纳税主体，其纳税义务按国家税收法律、法规执行。除法律法规特别要求外，投资者应缴纳的税收由投资者负责，产品管理人不承担代扣代缴或纳税的义务。理财计划运营过程中发生的应由理财计划承担的增值税应税行为，由本产品管理人申报和缴纳增值税及附加税费，该等税款直接从理财计划账户中扣付缴纳。</w:t>
            </w:r>
          </w:p>
        </w:tc>
      </w:tr>
    </w:tbl>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本金及理财收益</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1. 理财计划持有期年化收益率</w:t>
      </w:r>
    </w:p>
    <w:p w:rsidR="008E2B02" w:rsidRDefault="008E2B02" w:rsidP="008E2B02">
      <w:pPr>
        <w:adjustRightInd w:val="0"/>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（1）本理财计划类型为非保本浮动收益类，</w:t>
      </w:r>
      <w:r>
        <w:rPr>
          <w:rFonts w:asciiTheme="minorEastAsia" w:eastAsiaTheme="minorEastAsia" w:hAnsiTheme="minorEastAsia" w:hint="eastAsia"/>
          <w:b/>
          <w:sz w:val="22"/>
          <w:szCs w:val="22"/>
        </w:rPr>
        <w:t>根据投资者不同的流动性需求，提供不同的理财持有期限，目前提供的理财持有期限为7天、14天和21天。投资者选择对应销售代码认购/申购本理财计划成功后，投资者持有的理财产品份额将在对应理财持有期限后自动赎回。</w:t>
      </w:r>
      <w:r>
        <w:rPr>
          <w:rFonts w:asciiTheme="minorEastAsia" w:eastAsiaTheme="minorEastAsia" w:hAnsiTheme="minorEastAsia" w:hint="eastAsia"/>
          <w:sz w:val="22"/>
          <w:szCs w:val="22"/>
        </w:rPr>
        <w:t>招商银行于每个工作日9:30前公布当日赎回的理财计划的持有期年化收益率。理财计划投资的资产组合正常处置或持有到期获得收入的情况下，在扣除托管</w:t>
      </w:r>
      <w:r>
        <w:rPr>
          <w:rFonts w:asciiTheme="minorEastAsia" w:eastAsiaTheme="minorEastAsia" w:hAnsiTheme="minorEastAsia" w:hint="eastAsia"/>
          <w:sz w:val="22"/>
          <w:szCs w:val="22"/>
        </w:rPr>
        <w:lastRenderedPageBreak/>
        <w:t xml:space="preserve">费、投资管理费等相关费用后，投资者可获得按照招商银行公布的理财计划持有期年化收益率计算所得的理财收益。  </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（2）测算方法及测算依据：</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理财计划对应持有期每日年化收益率Xi=理财计划每日资产组合年化收益率-托管费率-对应持有期投资管理费率。理财计划每日年化收益率四舍五入后精确到小数点后4位。</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理财计划</w:t>
      </w:r>
      <w:r>
        <w:rPr>
          <w:rFonts w:asciiTheme="minorEastAsia" w:eastAsiaTheme="minorEastAsia" w:hAnsiTheme="minorEastAsia" w:hint="eastAsia"/>
          <w:sz w:val="22"/>
          <w:szCs w:val="22"/>
        </w:rPr>
        <w:t>持有期年化收益率</w:t>
      </w:r>
      <w:r>
        <w:rPr>
          <w:rFonts w:asciiTheme="minorEastAsia" w:eastAsiaTheme="minorEastAsia" w:hAnsiTheme="minorEastAsia" w:hint="eastAsia"/>
          <w:color w:val="000000"/>
          <w:kern w:val="0"/>
          <w:sz w:val="22"/>
          <w:szCs w:val="22"/>
          <w:lang w:val="zh-CN"/>
        </w:rPr>
        <w:t>=（X1+X2+···+Xn）/n,n为理财计划持有期限，理财计划</w:t>
      </w:r>
      <w:r>
        <w:rPr>
          <w:rFonts w:asciiTheme="minorEastAsia" w:eastAsiaTheme="minorEastAsia" w:hAnsiTheme="minorEastAsia" w:hint="eastAsia"/>
          <w:sz w:val="22"/>
          <w:szCs w:val="22"/>
        </w:rPr>
        <w:t>持有期年化收益率</w:t>
      </w:r>
      <w:r>
        <w:rPr>
          <w:rFonts w:asciiTheme="minorEastAsia" w:eastAsiaTheme="minorEastAsia" w:hAnsiTheme="minorEastAsia" w:hint="eastAsia"/>
          <w:color w:val="000000"/>
          <w:kern w:val="0"/>
          <w:sz w:val="22"/>
          <w:szCs w:val="22"/>
          <w:lang w:val="zh-CN"/>
        </w:rPr>
        <w:t>四舍五入后精确到小数点后2位。</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2. 相关费用</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color w:val="000000"/>
          <w:kern w:val="0"/>
          <w:sz w:val="22"/>
          <w:szCs w:val="22"/>
          <w:lang w:val="zh-CN"/>
        </w:rPr>
        <w:t>（1）本理财计划投资管理费率：</w:t>
      </w:r>
      <w:r>
        <w:rPr>
          <w:rFonts w:asciiTheme="minorEastAsia" w:eastAsiaTheme="minorEastAsia" w:hAnsiTheme="minorEastAsia" w:hint="eastAsia"/>
          <w:sz w:val="22"/>
          <w:szCs w:val="22"/>
        </w:rPr>
        <w:t>本理财计划根据不同的理财持有期限，收取不同的投资管理费，具体如下表所示：</w:t>
      </w:r>
    </w:p>
    <w:tbl>
      <w:tblPr>
        <w:tblStyle w:val="ab"/>
        <w:tblW w:w="5000" w:type="pct"/>
        <w:tblLook w:val="04A0" w:firstRow="1" w:lastRow="0" w:firstColumn="1" w:lastColumn="0" w:noHBand="0" w:noVBand="1"/>
      </w:tblPr>
      <w:tblGrid>
        <w:gridCol w:w="2130"/>
        <w:gridCol w:w="2130"/>
        <w:gridCol w:w="2131"/>
        <w:gridCol w:w="2131"/>
      </w:tblGrid>
      <w:tr w:rsidR="008E2B02" w:rsidTr="008E2B02">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理财持有期限</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7天</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14天</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21天</w:t>
            </w:r>
          </w:p>
        </w:tc>
      </w:tr>
      <w:tr w:rsidR="008E2B02" w:rsidTr="008E2B02">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投资管理费率</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0.5%</w:t>
            </w:r>
            <w:r>
              <w:rPr>
                <w:rFonts w:asciiTheme="minorEastAsia" w:eastAsiaTheme="minorEastAsia" w:hAnsiTheme="minorEastAsia" w:hint="eastAsia"/>
                <w:color w:val="000000"/>
                <w:kern w:val="0"/>
                <w:sz w:val="22"/>
                <w:szCs w:val="22"/>
                <w:lang w:val="zh-CN"/>
              </w:rPr>
              <w:t>/年</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0.4%</w:t>
            </w:r>
            <w:r>
              <w:rPr>
                <w:rFonts w:asciiTheme="minorEastAsia" w:eastAsiaTheme="minorEastAsia" w:hAnsiTheme="minorEastAsia" w:hint="eastAsia"/>
                <w:color w:val="000000"/>
                <w:kern w:val="0"/>
                <w:sz w:val="22"/>
                <w:szCs w:val="22"/>
                <w:lang w:val="zh-CN"/>
              </w:rPr>
              <w:t>/年</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2B02" w:rsidRDefault="008E2B02">
            <w:pPr>
              <w:autoSpaceDE w:val="0"/>
              <w:autoSpaceDN w:val="0"/>
              <w:adjustRightInd w:val="0"/>
              <w:snapToGrid w:val="0"/>
              <w:spacing w:line="300" w:lineRule="auto"/>
              <w:jc w:val="left"/>
              <w:rPr>
                <w:rFonts w:asciiTheme="minorEastAsia" w:eastAsiaTheme="minorEastAsia" w:hAnsiTheme="minorEastAsia"/>
                <w:sz w:val="22"/>
              </w:rPr>
            </w:pPr>
            <w:r>
              <w:rPr>
                <w:rFonts w:asciiTheme="minorEastAsia" w:eastAsiaTheme="minorEastAsia" w:hAnsiTheme="minorEastAsia" w:hint="eastAsia"/>
                <w:sz w:val="22"/>
                <w:szCs w:val="22"/>
              </w:rPr>
              <w:t>0.3%</w:t>
            </w:r>
            <w:r>
              <w:rPr>
                <w:rFonts w:asciiTheme="minorEastAsia" w:eastAsiaTheme="minorEastAsia" w:hAnsiTheme="minorEastAsia" w:hint="eastAsia"/>
                <w:color w:val="000000"/>
                <w:kern w:val="0"/>
                <w:sz w:val="22"/>
                <w:szCs w:val="22"/>
                <w:lang w:val="zh-CN"/>
              </w:rPr>
              <w:t>/年</w:t>
            </w:r>
          </w:p>
        </w:tc>
      </w:tr>
    </w:tbl>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（2）本理财计划托管费率：0.10%/年</w:t>
      </w:r>
    </w:p>
    <w:p w:rsidR="008E2B02" w:rsidRDefault="008E2B02" w:rsidP="008E2B02">
      <w:pPr>
        <w:autoSpaceDE w:val="0"/>
        <w:autoSpaceDN w:val="0"/>
        <w:adjustRightInd w:val="0"/>
        <w:snapToGrid w:val="0"/>
        <w:spacing w:line="300" w:lineRule="auto"/>
        <w:ind w:firstLineChars="200" w:firstLine="442"/>
        <w:jc w:val="left"/>
        <w:rPr>
          <w:rFonts w:asciiTheme="minorEastAsia" w:eastAsiaTheme="minorEastAsia" w:hAnsiTheme="minorEastAsia"/>
          <w:b/>
          <w:color w:val="000000"/>
          <w:kern w:val="0"/>
          <w:sz w:val="22"/>
          <w:szCs w:val="22"/>
          <w:lang w:val="zh-CN"/>
        </w:rPr>
      </w:pPr>
      <w:r>
        <w:rPr>
          <w:rFonts w:asciiTheme="minorEastAsia" w:eastAsiaTheme="minorEastAsia" w:hAnsiTheme="minorEastAsia" w:hint="eastAsia"/>
          <w:b/>
          <w:kern w:val="0"/>
          <w:sz w:val="22"/>
          <w:szCs w:val="22"/>
          <w:lang w:val="zh-CN"/>
        </w:rPr>
        <w:t>银行有权根据相</w:t>
      </w:r>
      <w:r>
        <w:rPr>
          <w:rFonts w:asciiTheme="minorEastAsia" w:eastAsiaTheme="minorEastAsia" w:hAnsiTheme="minorEastAsia" w:hint="eastAsia"/>
          <w:b/>
          <w:color w:val="000000"/>
          <w:kern w:val="0"/>
          <w:sz w:val="22"/>
          <w:szCs w:val="22"/>
          <w:lang w:val="zh-CN"/>
        </w:rPr>
        <w:t>关法律和国家政策的规定，对本理财计划的收费项目、条件、标准和方式进行调整。投资者对此无异议且同意在上述情况下继续持有本理财计划。</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xml:space="preserve">3. </w:t>
      </w:r>
      <w:r>
        <w:rPr>
          <w:rFonts w:asciiTheme="minorEastAsia" w:eastAsiaTheme="minorEastAsia" w:hAnsiTheme="minorEastAsia" w:hint="eastAsia"/>
          <w:color w:val="000000"/>
          <w:kern w:val="0"/>
          <w:sz w:val="22"/>
          <w:szCs w:val="22"/>
          <w:lang w:val="zh-CN"/>
        </w:rPr>
        <w:t>投资者所得收益</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lang w:val="zh-CN"/>
        </w:rPr>
        <w:t>（</w:t>
      </w:r>
      <w:r>
        <w:rPr>
          <w:rFonts w:asciiTheme="minorEastAsia" w:eastAsiaTheme="minorEastAsia" w:hAnsiTheme="minorEastAsia" w:hint="eastAsia"/>
          <w:color w:val="000000"/>
          <w:kern w:val="0"/>
          <w:sz w:val="22"/>
          <w:szCs w:val="22"/>
        </w:rPr>
        <w:t>1</w:t>
      </w:r>
      <w:r>
        <w:rPr>
          <w:rFonts w:asciiTheme="minorEastAsia" w:eastAsiaTheme="minorEastAsia" w:hAnsiTheme="minorEastAsia" w:hint="eastAsia"/>
          <w:color w:val="000000"/>
          <w:kern w:val="0"/>
          <w:sz w:val="22"/>
          <w:szCs w:val="22"/>
          <w:lang w:val="zh-CN"/>
        </w:rPr>
        <w:t>）计算公式</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rPr>
        <w:t>每收益计算单位</w:t>
      </w:r>
      <w:r>
        <w:rPr>
          <w:rFonts w:asciiTheme="minorEastAsia" w:eastAsiaTheme="minorEastAsia" w:hAnsiTheme="minorEastAsia" w:hint="eastAsia"/>
          <w:color w:val="000000"/>
          <w:kern w:val="0"/>
          <w:sz w:val="22"/>
          <w:szCs w:val="22"/>
          <w:lang w:val="zh-CN"/>
        </w:rPr>
        <w:t>理财收益＝10000×招商银行公布的理财计划持有期年化收益率×实际理财计划持有期限÷365</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投资者理财收益=</w:t>
      </w:r>
      <w:r>
        <w:rPr>
          <w:rFonts w:asciiTheme="minorEastAsia" w:eastAsiaTheme="minorEastAsia" w:hAnsiTheme="minorEastAsia" w:hint="eastAsia"/>
          <w:color w:val="000000"/>
          <w:kern w:val="0"/>
          <w:sz w:val="22"/>
          <w:szCs w:val="22"/>
        </w:rPr>
        <w:t>每收益计算单位</w:t>
      </w:r>
      <w:r>
        <w:rPr>
          <w:rFonts w:asciiTheme="minorEastAsia" w:eastAsiaTheme="minorEastAsia" w:hAnsiTheme="minorEastAsia" w:hint="eastAsia"/>
          <w:color w:val="000000"/>
          <w:kern w:val="0"/>
          <w:sz w:val="22"/>
          <w:szCs w:val="22"/>
          <w:lang w:val="zh-CN"/>
        </w:rPr>
        <w:t>理财收益×（投资者认购或申购金额/10000）</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每收益计算单位理财收益及投资者获得的人民币理财收益金额四舍五入后精确到小数点后2位。</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如招商银行未提前终止本理财计划，则实际理财天数为自本理财计划认购/申购登记日（含）至赎回登记日（不含）期间的天数。</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如招商银行提前终止本理财计划，则实际理财天数为自本理财计划成立日（含）至实际终止日（不含）期间的天数。</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如理财计划因所投资的资产组合无法及时变现等原因而延期，则理财计划实际存续天数为自本理财计划成立日（含）至实际终止日（不含）期间的天数。</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lang w:val="zh-CN"/>
        </w:rPr>
        <w:t>（</w:t>
      </w:r>
      <w:r>
        <w:rPr>
          <w:rFonts w:asciiTheme="minorEastAsia" w:eastAsiaTheme="minorEastAsia" w:hAnsiTheme="minorEastAsia" w:hint="eastAsia"/>
          <w:color w:val="000000"/>
          <w:kern w:val="0"/>
          <w:sz w:val="22"/>
          <w:szCs w:val="22"/>
        </w:rPr>
        <w:t>2</w:t>
      </w:r>
      <w:r>
        <w:rPr>
          <w:rFonts w:asciiTheme="minorEastAsia" w:eastAsiaTheme="minorEastAsia" w:hAnsiTheme="minorEastAsia" w:hint="eastAsia"/>
          <w:color w:val="000000"/>
          <w:kern w:val="0"/>
          <w:sz w:val="22"/>
          <w:szCs w:val="22"/>
          <w:lang w:val="zh-CN"/>
        </w:rPr>
        <w:t>）计算示例</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假设理财本金为</w:t>
      </w:r>
      <w:r w:rsidR="00FF62D6">
        <w:fldChar w:fldCharType="begin"/>
      </w:r>
      <w:r>
        <w:rPr>
          <w:rFonts w:asciiTheme="minorEastAsia" w:eastAsiaTheme="minorEastAsia" w:hAnsiTheme="minorEastAsia" w:hint="eastAsia"/>
          <w:color w:val="000000"/>
          <w:kern w:val="0"/>
          <w:sz w:val="22"/>
          <w:szCs w:val="22"/>
          <w:lang w:val="zh-CN"/>
        </w:rPr>
        <w:instrText xml:space="preserve"> MERGEFIELD 认购本金 </w:instrText>
      </w:r>
      <w:r w:rsidR="00FF62D6">
        <w:fldChar w:fldCharType="separate"/>
      </w:r>
      <w:r>
        <w:rPr>
          <w:rFonts w:asciiTheme="minorEastAsia" w:eastAsiaTheme="minorEastAsia" w:hAnsiTheme="minorEastAsia" w:hint="eastAsia"/>
          <w:noProof/>
          <w:color w:val="000000"/>
          <w:kern w:val="0"/>
          <w:sz w:val="22"/>
          <w:szCs w:val="22"/>
          <w:lang w:val="zh-CN"/>
        </w:rPr>
        <w:t>100000</w:t>
      </w:r>
      <w:r w:rsidR="00FF62D6">
        <w:fldChar w:fldCharType="end"/>
      </w:r>
      <w:r>
        <w:rPr>
          <w:rFonts w:asciiTheme="minorEastAsia" w:eastAsiaTheme="minorEastAsia" w:hAnsiTheme="minorEastAsia" w:hint="eastAsia"/>
          <w:color w:val="000000"/>
          <w:kern w:val="0"/>
          <w:sz w:val="22"/>
          <w:szCs w:val="22"/>
          <w:lang w:val="zh-CN"/>
        </w:rPr>
        <w:t>元，理财产品期限为7天，</w:t>
      </w:r>
      <w:r>
        <w:rPr>
          <w:rFonts w:asciiTheme="minorEastAsia" w:eastAsiaTheme="minorEastAsia" w:hAnsiTheme="minorEastAsia" w:cs="宋体" w:hint="eastAsia"/>
          <w:color w:val="000000"/>
          <w:kern w:val="0"/>
          <w:sz w:val="22"/>
          <w:szCs w:val="22"/>
        </w:rPr>
        <w:t>招商银行公布的理财计划7天的持有期年化收益率</w:t>
      </w:r>
      <w:r>
        <w:rPr>
          <w:rFonts w:asciiTheme="minorEastAsia" w:eastAsiaTheme="minorEastAsia" w:hAnsiTheme="minorEastAsia" w:hint="eastAsia"/>
          <w:color w:val="000000"/>
          <w:kern w:val="0"/>
          <w:sz w:val="22"/>
          <w:szCs w:val="22"/>
          <w:lang w:val="zh-CN"/>
        </w:rPr>
        <w:t>为</w:t>
      </w:r>
      <w:r>
        <w:rPr>
          <w:rFonts w:asciiTheme="minorEastAsia" w:eastAsiaTheme="minorEastAsia" w:hAnsiTheme="minorEastAsia" w:hint="eastAsia"/>
          <w:noProof/>
          <w:color w:val="000000"/>
          <w:kern w:val="0"/>
          <w:sz w:val="22"/>
          <w:szCs w:val="22"/>
          <w:lang w:val="zh-CN"/>
        </w:rPr>
        <w:t>3.0％</w:t>
      </w:r>
      <w:r>
        <w:rPr>
          <w:rFonts w:asciiTheme="minorEastAsia" w:eastAsiaTheme="minorEastAsia" w:hAnsiTheme="minorEastAsia" w:hint="eastAsia"/>
          <w:color w:val="000000"/>
          <w:kern w:val="0"/>
          <w:sz w:val="22"/>
          <w:szCs w:val="22"/>
          <w:lang w:val="zh-CN"/>
        </w:rPr>
        <w:t>，每收益计算单位理财收益为：</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10000×</w:t>
      </w:r>
      <w:r>
        <w:rPr>
          <w:rFonts w:asciiTheme="minorEastAsia" w:eastAsiaTheme="minorEastAsia" w:hAnsiTheme="minorEastAsia" w:hint="eastAsia"/>
          <w:noProof/>
          <w:color w:val="000000"/>
          <w:kern w:val="0"/>
          <w:sz w:val="22"/>
          <w:szCs w:val="22"/>
          <w:lang w:val="zh-CN"/>
        </w:rPr>
        <w:t>3.0％</w:t>
      </w:r>
      <w:r>
        <w:rPr>
          <w:rFonts w:asciiTheme="minorEastAsia" w:eastAsiaTheme="minorEastAsia" w:hAnsiTheme="minorEastAsia" w:hint="eastAsia"/>
          <w:color w:val="000000"/>
          <w:kern w:val="0"/>
          <w:sz w:val="22"/>
          <w:szCs w:val="22"/>
          <w:lang w:val="zh-CN"/>
        </w:rPr>
        <w:t>×</w:t>
      </w:r>
      <w:r>
        <w:rPr>
          <w:rFonts w:asciiTheme="minorEastAsia" w:eastAsiaTheme="minorEastAsia" w:hAnsiTheme="minorEastAsia" w:hint="eastAsia"/>
          <w:noProof/>
          <w:color w:val="000000"/>
          <w:kern w:val="0"/>
          <w:sz w:val="22"/>
          <w:szCs w:val="22"/>
          <w:lang w:val="zh-CN"/>
        </w:rPr>
        <w:t>7</w:t>
      </w:r>
      <w:r>
        <w:rPr>
          <w:rFonts w:asciiTheme="minorEastAsia" w:eastAsiaTheme="minorEastAsia" w:hAnsiTheme="minorEastAsia" w:hint="eastAsia"/>
          <w:color w:val="000000"/>
          <w:kern w:val="0"/>
          <w:sz w:val="22"/>
          <w:szCs w:val="22"/>
          <w:lang w:val="zh-CN"/>
        </w:rPr>
        <w:t>÷365＝</w:t>
      </w:r>
      <w:r>
        <w:rPr>
          <w:rFonts w:asciiTheme="minorEastAsia" w:eastAsiaTheme="minorEastAsia" w:hAnsiTheme="minorEastAsia" w:hint="eastAsia"/>
          <w:noProof/>
          <w:color w:val="000000"/>
          <w:kern w:val="0"/>
          <w:sz w:val="22"/>
          <w:szCs w:val="22"/>
          <w:lang w:val="zh-CN"/>
        </w:rPr>
        <w:t>5.75</w:t>
      </w:r>
      <w:r>
        <w:rPr>
          <w:rFonts w:asciiTheme="minorEastAsia" w:eastAsiaTheme="minorEastAsia" w:hAnsiTheme="minorEastAsia" w:hint="eastAsia"/>
          <w:color w:val="000000"/>
          <w:kern w:val="0"/>
          <w:sz w:val="22"/>
          <w:szCs w:val="22"/>
          <w:lang w:val="zh-CN"/>
        </w:rPr>
        <w:t>元</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投资者理财收益=5.75×(</w:t>
      </w:r>
      <w:r w:rsidR="00FF62D6">
        <w:fldChar w:fldCharType="begin"/>
      </w:r>
      <w:r>
        <w:rPr>
          <w:rFonts w:asciiTheme="minorEastAsia" w:eastAsiaTheme="minorEastAsia" w:hAnsiTheme="minorEastAsia" w:hint="eastAsia"/>
          <w:color w:val="000000"/>
          <w:kern w:val="0"/>
          <w:sz w:val="22"/>
          <w:szCs w:val="22"/>
          <w:lang w:val="zh-CN"/>
        </w:rPr>
        <w:instrText xml:space="preserve"> MERGEFIELD 认购本金 </w:instrText>
      </w:r>
      <w:r w:rsidR="00FF62D6">
        <w:fldChar w:fldCharType="separate"/>
      </w:r>
      <w:r>
        <w:rPr>
          <w:rFonts w:asciiTheme="minorEastAsia" w:eastAsiaTheme="minorEastAsia" w:hAnsiTheme="minorEastAsia" w:hint="eastAsia"/>
          <w:noProof/>
          <w:color w:val="000000"/>
          <w:kern w:val="0"/>
          <w:sz w:val="22"/>
          <w:szCs w:val="22"/>
          <w:lang w:val="zh-CN"/>
        </w:rPr>
        <w:t>100000</w:t>
      </w:r>
      <w:r w:rsidR="00FF62D6">
        <w:fldChar w:fldCharType="end"/>
      </w:r>
      <w:r>
        <w:rPr>
          <w:rFonts w:asciiTheme="minorEastAsia" w:eastAsiaTheme="minorEastAsia" w:hAnsiTheme="minorEastAsia" w:hint="eastAsia"/>
          <w:color w:val="000000"/>
          <w:kern w:val="0"/>
          <w:sz w:val="22"/>
          <w:szCs w:val="22"/>
          <w:lang w:val="zh-CN"/>
        </w:rPr>
        <w:t>/10000)=57.5元</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假设理财本金为100000元，理财产品期限为7天，招商银行公布的理财计划</w:t>
      </w:r>
      <w:r>
        <w:rPr>
          <w:rFonts w:asciiTheme="minorEastAsia" w:eastAsiaTheme="minorEastAsia" w:hAnsiTheme="minorEastAsia" w:cs="宋体" w:hint="eastAsia"/>
          <w:color w:val="000000"/>
          <w:kern w:val="0"/>
          <w:sz w:val="22"/>
          <w:szCs w:val="22"/>
        </w:rPr>
        <w:t>7天的持有期</w:t>
      </w:r>
      <w:r>
        <w:rPr>
          <w:rFonts w:asciiTheme="minorEastAsia" w:eastAsiaTheme="minorEastAsia" w:hAnsiTheme="minorEastAsia" w:hint="eastAsia"/>
          <w:color w:val="000000"/>
          <w:kern w:val="0"/>
          <w:sz w:val="22"/>
          <w:szCs w:val="22"/>
          <w:lang w:val="zh-CN"/>
        </w:rPr>
        <w:t>年化收益率为-3.0%，每收益计算单位理财收益为：</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10000×(-3.0%)×7÷365=-5.75元</w:t>
      </w:r>
    </w:p>
    <w:p w:rsidR="008E2B02" w:rsidRDefault="008E2B02" w:rsidP="008E2B02">
      <w:pPr>
        <w:autoSpaceDE w:val="0"/>
        <w:autoSpaceDN w:val="0"/>
        <w:adjustRightInd w:val="0"/>
        <w:snapToGrid w:val="0"/>
        <w:spacing w:line="300" w:lineRule="auto"/>
        <w:ind w:firstLineChars="200" w:firstLine="44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t>投资者总理财收益=(-5.75)×(</w:t>
      </w:r>
      <w:r w:rsidR="00FF62D6">
        <w:fldChar w:fldCharType="begin"/>
      </w:r>
      <w:r>
        <w:rPr>
          <w:rFonts w:asciiTheme="minorEastAsia" w:eastAsiaTheme="minorEastAsia" w:hAnsiTheme="minorEastAsia" w:hint="eastAsia"/>
          <w:color w:val="000000"/>
          <w:kern w:val="0"/>
          <w:sz w:val="22"/>
          <w:szCs w:val="22"/>
          <w:lang w:val="zh-CN"/>
        </w:rPr>
        <w:instrText xml:space="preserve"> MERGEFIELD 认购本金 </w:instrText>
      </w:r>
      <w:r w:rsidR="00FF62D6">
        <w:fldChar w:fldCharType="separate"/>
      </w:r>
      <w:r>
        <w:rPr>
          <w:rFonts w:asciiTheme="minorEastAsia" w:eastAsiaTheme="minorEastAsia" w:hAnsiTheme="minorEastAsia" w:hint="eastAsia"/>
          <w:noProof/>
          <w:color w:val="000000"/>
          <w:kern w:val="0"/>
          <w:sz w:val="22"/>
          <w:szCs w:val="22"/>
          <w:lang w:val="zh-CN"/>
        </w:rPr>
        <w:t>100000</w:t>
      </w:r>
      <w:r w:rsidR="00FF62D6">
        <w:fldChar w:fldCharType="end"/>
      </w:r>
      <w:r>
        <w:rPr>
          <w:rFonts w:asciiTheme="minorEastAsia" w:eastAsiaTheme="minorEastAsia" w:hAnsiTheme="minorEastAsia" w:hint="eastAsia"/>
          <w:color w:val="000000"/>
          <w:kern w:val="0"/>
          <w:sz w:val="22"/>
          <w:szCs w:val="22"/>
          <w:lang w:val="zh-CN"/>
        </w:rPr>
        <w:t>/10000)=-57.5元。该种情况下，投资者本金将受到损失。</w:t>
      </w:r>
    </w:p>
    <w:p w:rsidR="008E2B02" w:rsidRDefault="008E2B02" w:rsidP="008E2B02">
      <w:pPr>
        <w:autoSpaceDE w:val="0"/>
        <w:autoSpaceDN w:val="0"/>
        <w:adjustRightInd w:val="0"/>
        <w:snapToGrid w:val="0"/>
        <w:spacing w:line="300" w:lineRule="auto"/>
        <w:ind w:firstLineChars="200" w:firstLine="442"/>
        <w:jc w:val="left"/>
        <w:rPr>
          <w:rFonts w:asciiTheme="minorEastAsia" w:eastAsiaTheme="minorEastAsia" w:hAnsiTheme="minorEastAsia"/>
          <w:b/>
          <w:color w:val="000000"/>
          <w:kern w:val="0"/>
          <w:sz w:val="22"/>
          <w:szCs w:val="22"/>
          <w:lang w:val="zh-CN"/>
        </w:rPr>
      </w:pPr>
      <w:r>
        <w:rPr>
          <w:rFonts w:asciiTheme="minorEastAsia" w:eastAsiaTheme="minorEastAsia" w:hAnsiTheme="minorEastAsia" w:hint="eastAsia"/>
          <w:b/>
          <w:color w:val="000000"/>
          <w:kern w:val="0"/>
          <w:sz w:val="22"/>
          <w:szCs w:val="22"/>
          <w:lang w:val="zh-CN"/>
        </w:rPr>
        <w:lastRenderedPageBreak/>
        <w:t>（测算收益不等于实际收益，投资须谨慎）</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4</w:t>
      </w:r>
      <w:r>
        <w:rPr>
          <w:rFonts w:asciiTheme="minorEastAsia" w:eastAsiaTheme="minorEastAsia" w:hAnsiTheme="minorEastAsia" w:hint="eastAsia"/>
          <w:color w:val="000000"/>
          <w:kern w:val="0"/>
          <w:sz w:val="22"/>
          <w:szCs w:val="22"/>
          <w:lang w:val="zh-CN"/>
        </w:rPr>
        <w:t>．本金及理财收益风险</w:t>
      </w:r>
    </w:p>
    <w:p w:rsidR="008E2B02" w:rsidRDefault="008E2B02" w:rsidP="008E2B02">
      <w:pPr>
        <w:autoSpaceDE w:val="0"/>
        <w:autoSpaceDN w:val="0"/>
        <w:adjustRightInd w:val="0"/>
        <w:snapToGrid w:val="0"/>
        <w:spacing w:line="300" w:lineRule="auto"/>
        <w:ind w:firstLineChars="200" w:firstLine="440"/>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lang w:val="zh-CN"/>
        </w:rPr>
        <w:t>本理财计划类型为非保本浮动收益类，在资产组合无法正常处置的情况下，须根据资产实际出让或处分情况来计算投资者应得本金及理财收益；在资产组合项下资产全部亏损的最不利情况下，投资者本金将全部损失。</w:t>
      </w:r>
    </w:p>
    <w:p w:rsidR="008E2B02" w:rsidRDefault="008E2B02" w:rsidP="008E2B02">
      <w:pPr>
        <w:adjustRightInd w:val="0"/>
        <w:snapToGrid w:val="0"/>
        <w:spacing w:line="300" w:lineRule="auto"/>
        <w:rPr>
          <w:rFonts w:asciiTheme="minorEastAsia" w:eastAsiaTheme="minorEastAsia" w:hAnsiTheme="minorEastAsia"/>
          <w:b/>
          <w:sz w:val="22"/>
          <w:szCs w:val="22"/>
        </w:rPr>
      </w:pP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b/>
          <w:bCs/>
          <w:color w:val="000000"/>
          <w:kern w:val="0"/>
          <w:sz w:val="22"/>
          <w:szCs w:val="22"/>
        </w:rPr>
      </w:pPr>
      <w:r>
        <w:rPr>
          <w:rFonts w:asciiTheme="minorEastAsia" w:eastAsiaTheme="minorEastAsia" w:hAnsiTheme="minorEastAsia" w:hint="eastAsia"/>
          <w:b/>
          <w:bCs/>
          <w:color w:val="000000"/>
          <w:kern w:val="0"/>
          <w:sz w:val="22"/>
          <w:szCs w:val="22"/>
          <w:lang w:val="zh-CN"/>
        </w:rPr>
        <w:t>理财计划认购/申购</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b/>
          <w:color w:val="000000"/>
          <w:kern w:val="0"/>
          <w:sz w:val="22"/>
          <w:szCs w:val="22"/>
        </w:rPr>
      </w:pPr>
      <w:r>
        <w:rPr>
          <w:rFonts w:asciiTheme="minorEastAsia" w:eastAsiaTheme="minorEastAsia" w:hAnsiTheme="minorEastAsia" w:hint="eastAsia"/>
          <w:color w:val="000000"/>
          <w:kern w:val="0"/>
          <w:sz w:val="22"/>
          <w:szCs w:val="22"/>
        </w:rPr>
        <w:t>1. 认购/申购份额：</w:t>
      </w:r>
      <w:r>
        <w:rPr>
          <w:rFonts w:asciiTheme="minorEastAsia" w:eastAsiaTheme="minorEastAsia" w:hAnsiTheme="minorEastAsia" w:hint="eastAsia"/>
          <w:color w:val="000000"/>
          <w:kern w:val="0"/>
          <w:sz w:val="22"/>
          <w:szCs w:val="22"/>
          <w:lang w:val="zh-CN"/>
        </w:rPr>
        <w:t>1元人民币为1份。</w:t>
      </w:r>
    </w:p>
    <w:p w:rsidR="008E2B02" w:rsidRDefault="008E2B02" w:rsidP="008E2B02">
      <w:pPr>
        <w:autoSpaceDE w:val="0"/>
        <w:autoSpaceDN w:val="0"/>
        <w:adjustRightInd w:val="0"/>
        <w:snapToGrid w:val="0"/>
        <w:spacing w:line="300" w:lineRule="auto"/>
        <w:rPr>
          <w:rFonts w:ascii="宋体" w:hAnsi="宋体"/>
          <w:sz w:val="22"/>
          <w:szCs w:val="22"/>
        </w:rPr>
      </w:pPr>
      <w:r>
        <w:rPr>
          <w:rFonts w:asciiTheme="minorEastAsia" w:eastAsiaTheme="minorEastAsia" w:hAnsiTheme="minorEastAsia" w:hint="eastAsia"/>
          <w:color w:val="000000"/>
          <w:kern w:val="0"/>
          <w:sz w:val="22"/>
          <w:szCs w:val="22"/>
        </w:rPr>
        <w:t>2. 理财计划规模上限：</w:t>
      </w:r>
      <w:r>
        <w:rPr>
          <w:rFonts w:ascii="宋体" w:hAnsi="宋体" w:hint="eastAsia"/>
          <w:sz w:val="22"/>
          <w:szCs w:val="22"/>
        </w:rPr>
        <w:t>发行规模不设下限，本理财计划总发行规模上限为</w:t>
      </w:r>
      <w:r w:rsidR="00016E59">
        <w:rPr>
          <w:rFonts w:ascii="宋体" w:hAnsi="宋体" w:hint="eastAsia"/>
          <w:sz w:val="22"/>
          <w:szCs w:val="22"/>
        </w:rPr>
        <w:t>290</w:t>
      </w:r>
      <w:r>
        <w:rPr>
          <w:rFonts w:ascii="宋体" w:hAnsi="宋体" w:hint="eastAsia"/>
          <w:sz w:val="22"/>
          <w:szCs w:val="22"/>
        </w:rPr>
        <w:t>亿元人民币，对应各销售渠道发行规模上限如下：</w:t>
      </w:r>
    </w:p>
    <w:p w:rsidR="008E2B02" w:rsidRDefault="008E2B02" w:rsidP="008E2B02">
      <w:pPr>
        <w:autoSpaceDE w:val="0"/>
        <w:autoSpaceDN w:val="0"/>
        <w:adjustRightInd w:val="0"/>
        <w:snapToGrid w:val="0"/>
        <w:spacing w:line="300" w:lineRule="auto"/>
        <w:rPr>
          <w:rFonts w:ascii="宋体" w:hAnsi="宋体"/>
          <w:sz w:val="22"/>
          <w:szCs w:val="22"/>
        </w:rPr>
      </w:pPr>
      <w:r>
        <w:rPr>
          <w:rFonts w:ascii="宋体" w:hAnsi="宋体" w:hint="eastAsia"/>
          <w:sz w:val="22"/>
          <w:szCs w:val="22"/>
        </w:rPr>
        <w:t>（1）对于个人投资者，销售代码8901发行规模上限为30亿元，销售代码8902发行规模上限为50亿元，销售代码8903发行规模上限为50亿元，合计发行规模上限为130亿元；</w:t>
      </w:r>
    </w:p>
    <w:p w:rsidR="008E2B02" w:rsidRDefault="008E2B02" w:rsidP="008E2B02">
      <w:pPr>
        <w:autoSpaceDE w:val="0"/>
        <w:autoSpaceDN w:val="0"/>
        <w:adjustRightInd w:val="0"/>
        <w:snapToGrid w:val="0"/>
        <w:spacing w:line="300" w:lineRule="auto"/>
        <w:rPr>
          <w:rFonts w:ascii="宋体" w:hAnsi="宋体"/>
          <w:sz w:val="22"/>
          <w:szCs w:val="22"/>
        </w:rPr>
      </w:pPr>
      <w:r>
        <w:rPr>
          <w:rFonts w:ascii="宋体" w:hAnsi="宋体" w:hint="eastAsia"/>
          <w:sz w:val="22"/>
          <w:szCs w:val="22"/>
        </w:rPr>
        <w:t>（2）对于企业投资者，销售代码90007发行规模上限为</w:t>
      </w:r>
      <w:r w:rsidR="00016E59">
        <w:rPr>
          <w:rFonts w:ascii="宋体" w:hAnsi="宋体" w:hint="eastAsia"/>
          <w:sz w:val="22"/>
          <w:szCs w:val="22"/>
        </w:rPr>
        <w:t>20</w:t>
      </w:r>
      <w:r>
        <w:rPr>
          <w:rFonts w:ascii="宋体" w:hAnsi="宋体" w:hint="eastAsia"/>
          <w:sz w:val="22"/>
          <w:szCs w:val="22"/>
        </w:rPr>
        <w:t>亿元，销售代码90014发行规模上限为</w:t>
      </w:r>
      <w:r w:rsidR="00016E59">
        <w:rPr>
          <w:rFonts w:ascii="宋体" w:hAnsi="宋体" w:hint="eastAsia"/>
          <w:sz w:val="22"/>
          <w:szCs w:val="22"/>
        </w:rPr>
        <w:t>30</w:t>
      </w:r>
      <w:r>
        <w:rPr>
          <w:rFonts w:ascii="宋体" w:hAnsi="宋体" w:hint="eastAsia"/>
          <w:sz w:val="22"/>
          <w:szCs w:val="22"/>
        </w:rPr>
        <w:t>亿元，销售代码90021发行规模上限为</w:t>
      </w:r>
      <w:r w:rsidR="00016E59">
        <w:rPr>
          <w:rFonts w:ascii="宋体" w:hAnsi="宋体" w:hint="eastAsia"/>
          <w:sz w:val="22"/>
          <w:szCs w:val="22"/>
        </w:rPr>
        <w:t>50</w:t>
      </w:r>
      <w:r>
        <w:rPr>
          <w:rFonts w:ascii="宋体" w:hAnsi="宋体" w:hint="eastAsia"/>
          <w:sz w:val="22"/>
          <w:szCs w:val="22"/>
        </w:rPr>
        <w:t>亿元，合计发行规模上限为</w:t>
      </w:r>
      <w:r w:rsidR="00016E59">
        <w:rPr>
          <w:rFonts w:ascii="宋体" w:hAnsi="宋体" w:hint="eastAsia"/>
          <w:sz w:val="22"/>
          <w:szCs w:val="22"/>
        </w:rPr>
        <w:t>100</w:t>
      </w:r>
      <w:r>
        <w:rPr>
          <w:rFonts w:ascii="宋体" w:hAnsi="宋体" w:hint="eastAsia"/>
          <w:sz w:val="22"/>
          <w:szCs w:val="22"/>
        </w:rPr>
        <w:t>亿元。</w:t>
      </w:r>
    </w:p>
    <w:p w:rsidR="008E2B02" w:rsidRDefault="008E2B02" w:rsidP="008E2B02">
      <w:pPr>
        <w:autoSpaceDE w:val="0"/>
        <w:autoSpaceDN w:val="0"/>
        <w:adjustRightInd w:val="0"/>
        <w:snapToGrid w:val="0"/>
        <w:spacing w:line="300" w:lineRule="auto"/>
        <w:rPr>
          <w:rFonts w:ascii="宋体" w:hAnsi="宋体"/>
          <w:sz w:val="22"/>
          <w:szCs w:val="22"/>
        </w:rPr>
      </w:pPr>
      <w:r>
        <w:rPr>
          <w:rFonts w:ascii="宋体" w:hAnsi="宋体" w:hint="eastAsia"/>
          <w:sz w:val="22"/>
          <w:szCs w:val="22"/>
        </w:rPr>
        <w:t>（3）对于同业投资者，销售代码22007发行规模上限为20亿元，销售代码22014发行规模上限为20亿元，销售代码22021发行规模上限为20亿元，合计发行规模上限为60亿元。</w:t>
      </w:r>
    </w:p>
    <w:p w:rsidR="008E2B02" w:rsidRDefault="008E2B02" w:rsidP="008E2B02">
      <w:pPr>
        <w:autoSpaceDE w:val="0"/>
        <w:autoSpaceDN w:val="0"/>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color w:val="000000"/>
          <w:kern w:val="0"/>
          <w:sz w:val="22"/>
          <w:szCs w:val="22"/>
        </w:rPr>
        <w:t xml:space="preserve">2. </w:t>
      </w:r>
      <w:r>
        <w:rPr>
          <w:rFonts w:asciiTheme="minorEastAsia" w:eastAsiaTheme="minorEastAsia" w:hAnsiTheme="minorEastAsia" w:hint="eastAsia"/>
          <w:color w:val="000000"/>
          <w:kern w:val="0"/>
          <w:sz w:val="22"/>
          <w:szCs w:val="22"/>
          <w:lang w:val="zh-CN"/>
        </w:rPr>
        <w:t>认购/申购时间：2013年7月29日9:30到22:30</w:t>
      </w:r>
      <w:r>
        <w:rPr>
          <w:rFonts w:asciiTheme="minorEastAsia" w:eastAsiaTheme="minorEastAsia" w:hAnsiTheme="minorEastAsia" w:hint="eastAsia"/>
          <w:noProof/>
          <w:color w:val="000000"/>
          <w:kern w:val="0"/>
          <w:sz w:val="22"/>
          <w:szCs w:val="22"/>
          <w:lang w:val="zh-CN"/>
        </w:rPr>
        <w:t>为认购开放时间，</w:t>
      </w:r>
      <w:r>
        <w:rPr>
          <w:rFonts w:asciiTheme="minorEastAsia" w:eastAsiaTheme="minorEastAsia" w:hAnsiTheme="minorEastAsia" w:hint="eastAsia"/>
          <w:sz w:val="22"/>
          <w:szCs w:val="22"/>
        </w:rPr>
        <w:t>2013年7月30日后</w:t>
      </w:r>
      <w:r>
        <w:rPr>
          <w:rFonts w:asciiTheme="minorEastAsia" w:eastAsiaTheme="minorEastAsia" w:hAnsiTheme="minorEastAsia" w:hint="eastAsia"/>
          <w:color w:val="000000"/>
          <w:kern w:val="0"/>
          <w:sz w:val="22"/>
          <w:szCs w:val="22"/>
          <w:lang w:val="zh-CN"/>
        </w:rPr>
        <w:t>每日9:30到22:30开放</w:t>
      </w:r>
      <w:r>
        <w:rPr>
          <w:rFonts w:asciiTheme="minorEastAsia" w:eastAsiaTheme="minorEastAsia" w:hAnsiTheme="minorEastAsia" w:hint="eastAsia"/>
          <w:sz w:val="22"/>
          <w:szCs w:val="22"/>
          <w:lang w:val="zh-CN"/>
        </w:rPr>
        <w:t>申购。</w:t>
      </w:r>
    </w:p>
    <w:p w:rsidR="008E2B02" w:rsidRDefault="008E2B02" w:rsidP="008E2B02">
      <w:pPr>
        <w:adjustRightInd w:val="0"/>
        <w:snapToGrid w:val="0"/>
        <w:spacing w:line="300" w:lineRule="auto"/>
        <w:jc w:val="left"/>
        <w:rPr>
          <w:rFonts w:asciiTheme="minorEastAsia" w:eastAsiaTheme="minorEastAsia" w:hAnsiTheme="minorEastAsia"/>
          <w:noProof/>
          <w:color w:val="000000"/>
          <w:kern w:val="0"/>
          <w:sz w:val="22"/>
          <w:szCs w:val="22"/>
          <w:lang w:val="zh-CN"/>
        </w:rPr>
      </w:pPr>
      <w:r>
        <w:rPr>
          <w:rFonts w:asciiTheme="minorEastAsia" w:eastAsiaTheme="minorEastAsia" w:hAnsiTheme="minorEastAsia" w:hint="eastAsia"/>
          <w:noProof/>
          <w:color w:val="000000"/>
          <w:kern w:val="0"/>
          <w:sz w:val="22"/>
          <w:szCs w:val="22"/>
          <w:lang w:val="zh-CN"/>
        </w:rPr>
        <w:t>3. 认购/申购手续：</w:t>
      </w:r>
      <w:r>
        <w:rPr>
          <w:rFonts w:asciiTheme="minorEastAsia" w:eastAsiaTheme="minorEastAsia" w:hAnsiTheme="minorEastAsia" w:hint="eastAsia"/>
          <w:color w:val="000000"/>
          <w:kern w:val="0"/>
          <w:sz w:val="22"/>
          <w:szCs w:val="22"/>
          <w:lang w:val="zh-CN"/>
        </w:rPr>
        <w:t>本理财计划向依据中华人民共和国有关法律法规及其他有关规定可以购买本理财计划的合格投资者发售。</w:t>
      </w:r>
      <w:r>
        <w:rPr>
          <w:rFonts w:asciiTheme="minorEastAsia" w:eastAsiaTheme="minorEastAsia" w:hAnsiTheme="minorEastAsia" w:hint="eastAsia"/>
          <w:noProof/>
          <w:color w:val="000000"/>
          <w:kern w:val="0"/>
          <w:sz w:val="22"/>
          <w:szCs w:val="22"/>
          <w:lang w:val="zh-CN"/>
        </w:rPr>
        <w:t>在理财计划认购期内：</w:t>
      </w:r>
    </w:p>
    <w:p w:rsidR="008E2B02" w:rsidRDefault="008E2B02" w:rsidP="008E2B02">
      <w:pPr>
        <w:adjustRightInd w:val="0"/>
        <w:snapToGrid w:val="0"/>
        <w:spacing w:line="300" w:lineRule="auto"/>
        <w:jc w:val="left"/>
        <w:rPr>
          <w:rFonts w:asciiTheme="minorEastAsia" w:eastAsiaTheme="minorEastAsia" w:hAnsiTheme="minorEastAsia"/>
          <w:noProof/>
          <w:color w:val="000000"/>
          <w:kern w:val="0"/>
          <w:sz w:val="22"/>
          <w:szCs w:val="22"/>
          <w:lang w:val="zh-CN"/>
        </w:rPr>
      </w:pPr>
      <w:r>
        <w:rPr>
          <w:rFonts w:asciiTheme="minorEastAsia" w:eastAsiaTheme="minorEastAsia" w:hAnsiTheme="minorEastAsia" w:hint="eastAsia"/>
          <w:noProof/>
          <w:color w:val="000000"/>
          <w:kern w:val="0"/>
          <w:sz w:val="22"/>
          <w:szCs w:val="22"/>
          <w:lang w:val="zh-CN"/>
        </w:rPr>
        <w:t>（1）个人投资者可通过招商银行当地营业网点、招商银行财富账户、个人银行专业版、大众版或者招商银行认可的其他方式办理认购/申购本理财计划份额，</w:t>
      </w:r>
      <w:r>
        <w:rPr>
          <w:rFonts w:asciiTheme="minorEastAsia" w:eastAsiaTheme="minorEastAsia" w:hAnsiTheme="minorEastAsia" w:hint="eastAsia"/>
          <w:color w:val="000000"/>
          <w:kern w:val="0"/>
          <w:sz w:val="22"/>
          <w:szCs w:val="22"/>
          <w:lang w:val="zh-CN"/>
        </w:rPr>
        <w:t>如投资者选择7天的理财持有期限，则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8901</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8902</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8903</w:t>
      </w:r>
      <w:r>
        <w:rPr>
          <w:rFonts w:asciiTheme="minorEastAsia" w:eastAsiaTheme="minorEastAsia" w:hAnsiTheme="minorEastAsia" w:hint="eastAsia"/>
          <w:noProof/>
          <w:color w:val="000000"/>
          <w:kern w:val="0"/>
          <w:sz w:val="22"/>
          <w:szCs w:val="22"/>
          <w:lang w:val="zh-CN"/>
        </w:rPr>
        <w:t>。</w:t>
      </w:r>
    </w:p>
    <w:p w:rsidR="008E2B02" w:rsidRDefault="008E2B02" w:rsidP="008E2B02">
      <w:pPr>
        <w:adjustRightInd w:val="0"/>
        <w:snapToGrid w:val="0"/>
        <w:spacing w:line="300" w:lineRule="auto"/>
        <w:jc w:val="left"/>
        <w:rPr>
          <w:rFonts w:asciiTheme="minorEastAsia" w:eastAsiaTheme="minorEastAsia" w:hAnsiTheme="minorEastAsia"/>
          <w:noProof/>
          <w:color w:val="000000"/>
          <w:kern w:val="0"/>
          <w:sz w:val="22"/>
          <w:szCs w:val="22"/>
          <w:lang w:val="zh-CN"/>
        </w:rPr>
      </w:pPr>
      <w:r>
        <w:rPr>
          <w:rFonts w:asciiTheme="minorEastAsia" w:eastAsiaTheme="minorEastAsia" w:hAnsiTheme="minorEastAsia" w:hint="eastAsia"/>
          <w:noProof/>
          <w:color w:val="000000"/>
          <w:kern w:val="0"/>
          <w:sz w:val="22"/>
          <w:szCs w:val="22"/>
          <w:lang w:val="zh-CN"/>
        </w:rPr>
        <w:t>（2）企业投资者可通过招商银行当地营业网点、招商银行网上银行或者招商银行认可的其他方式办理认购/申购本理财计划份额，</w:t>
      </w:r>
      <w:r>
        <w:rPr>
          <w:rFonts w:asciiTheme="minorEastAsia" w:eastAsiaTheme="minorEastAsia" w:hAnsiTheme="minorEastAsia" w:hint="eastAsia"/>
          <w:color w:val="000000"/>
          <w:kern w:val="0"/>
          <w:sz w:val="22"/>
          <w:szCs w:val="22"/>
          <w:lang w:val="zh-CN"/>
        </w:rPr>
        <w:t>如投资者选择7天的理财持有期限，则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90007</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90014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90021</w:t>
      </w:r>
      <w:r>
        <w:rPr>
          <w:rFonts w:asciiTheme="minorEastAsia" w:eastAsiaTheme="minorEastAsia" w:hAnsiTheme="minorEastAsia" w:hint="eastAsia"/>
          <w:noProof/>
          <w:color w:val="000000"/>
          <w:kern w:val="0"/>
          <w:sz w:val="22"/>
          <w:szCs w:val="22"/>
          <w:lang w:val="zh-CN"/>
        </w:rPr>
        <w:t>。</w:t>
      </w:r>
    </w:p>
    <w:p w:rsidR="008E2B02" w:rsidRDefault="008E2B02" w:rsidP="008E2B02">
      <w:pPr>
        <w:adjustRightInd w:val="0"/>
        <w:snapToGrid w:val="0"/>
        <w:spacing w:line="300" w:lineRule="auto"/>
        <w:jc w:val="left"/>
        <w:rPr>
          <w:rFonts w:asciiTheme="minorEastAsia" w:eastAsiaTheme="minorEastAsia" w:hAnsiTheme="minorEastAsia"/>
          <w:noProof/>
          <w:color w:val="000000"/>
          <w:kern w:val="0"/>
          <w:sz w:val="22"/>
          <w:szCs w:val="22"/>
          <w:lang w:val="zh-CN"/>
        </w:rPr>
      </w:pPr>
      <w:r>
        <w:rPr>
          <w:rFonts w:asciiTheme="minorEastAsia" w:eastAsiaTheme="minorEastAsia" w:hAnsiTheme="minorEastAsia" w:hint="eastAsia"/>
          <w:noProof/>
          <w:color w:val="000000"/>
          <w:kern w:val="0"/>
          <w:sz w:val="22"/>
          <w:szCs w:val="22"/>
          <w:lang w:val="zh-CN"/>
        </w:rPr>
        <w:t>(3) 同业投资者可通过招商银行当地营业网点、招商银行网上银行或者招商银行认可的其他方式办理认购/申购本理财计划份额，</w:t>
      </w:r>
      <w:r>
        <w:rPr>
          <w:rFonts w:asciiTheme="minorEastAsia" w:eastAsiaTheme="minorEastAsia" w:hAnsiTheme="minorEastAsia" w:hint="eastAsia"/>
          <w:color w:val="000000"/>
          <w:kern w:val="0"/>
          <w:sz w:val="22"/>
          <w:szCs w:val="22"/>
          <w:lang w:val="zh-CN"/>
        </w:rPr>
        <w:t>如投资者选择7天的理财持有期限，则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22007</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如投资者选择14天的理财持有期限，则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22014</w:t>
      </w:r>
      <w:r>
        <w:rPr>
          <w:rFonts w:asciiTheme="minorEastAsia" w:eastAsiaTheme="minorEastAsia" w:hAnsiTheme="minorEastAsia" w:hint="eastAsia"/>
          <w:noProof/>
          <w:color w:val="000000"/>
          <w:kern w:val="0"/>
          <w:sz w:val="22"/>
          <w:szCs w:val="22"/>
          <w:lang w:val="zh-CN"/>
        </w:rPr>
        <w:t>；</w:t>
      </w:r>
      <w:r>
        <w:rPr>
          <w:rFonts w:asciiTheme="minorEastAsia" w:eastAsiaTheme="minorEastAsia" w:hAnsiTheme="minorEastAsia" w:hint="eastAsia"/>
          <w:color w:val="000000"/>
          <w:kern w:val="0"/>
          <w:sz w:val="22"/>
          <w:szCs w:val="22"/>
          <w:lang w:val="zh-CN"/>
        </w:rPr>
        <w:t>如投资者选择21天的理财持有期限，则</w:t>
      </w:r>
      <w:r>
        <w:rPr>
          <w:rFonts w:asciiTheme="minorEastAsia" w:eastAsiaTheme="minorEastAsia" w:hAnsiTheme="minorEastAsia" w:hint="eastAsia"/>
          <w:noProof/>
          <w:color w:val="000000"/>
          <w:kern w:val="0"/>
          <w:sz w:val="22"/>
          <w:szCs w:val="22"/>
          <w:lang w:val="zh-CN"/>
        </w:rPr>
        <w:t>销售代码为</w:t>
      </w:r>
      <w:r>
        <w:rPr>
          <w:rFonts w:asciiTheme="minorEastAsia" w:eastAsiaTheme="minorEastAsia" w:hAnsiTheme="minorEastAsia" w:hint="eastAsia"/>
          <w:b/>
          <w:noProof/>
          <w:color w:val="000000"/>
          <w:kern w:val="0"/>
          <w:sz w:val="22"/>
          <w:szCs w:val="22"/>
          <w:lang w:val="zh-CN"/>
        </w:rPr>
        <w:t>22021</w:t>
      </w:r>
      <w:r>
        <w:rPr>
          <w:rFonts w:asciiTheme="minorEastAsia" w:eastAsiaTheme="minorEastAsia" w:hAnsiTheme="minorEastAsia" w:hint="eastAsia"/>
          <w:noProof/>
          <w:color w:val="000000"/>
          <w:kern w:val="0"/>
          <w:sz w:val="22"/>
          <w:szCs w:val="22"/>
          <w:lang w:val="zh-CN"/>
        </w:rPr>
        <w:t>。</w:t>
      </w:r>
    </w:p>
    <w:p w:rsidR="008E2B02" w:rsidRDefault="008E2B02" w:rsidP="008E2B02">
      <w:pPr>
        <w:adjustRightInd w:val="0"/>
        <w:snapToGrid w:val="0"/>
        <w:spacing w:line="300" w:lineRule="auto"/>
        <w:ind w:firstLineChars="200" w:firstLine="442"/>
        <w:jc w:val="left"/>
        <w:rPr>
          <w:rFonts w:asciiTheme="minorEastAsia" w:eastAsiaTheme="minorEastAsia" w:hAnsiTheme="minorEastAsia"/>
          <w:sz w:val="22"/>
          <w:szCs w:val="22"/>
        </w:rPr>
      </w:pPr>
      <w:r>
        <w:rPr>
          <w:rFonts w:ascii="宋体" w:hAnsi="宋体" w:hint="eastAsia"/>
          <w:b/>
          <w:sz w:val="22"/>
          <w:szCs w:val="22"/>
        </w:rPr>
        <w:t>上述不同的购买方式视为不同的销售渠道。</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4. 认购/申购起点：1元人民币为1份，认购/申购起点份额为5万份，超过认购/申购起点份额部分，应为1万份的整数倍。</w:t>
      </w:r>
      <w:r>
        <w:rPr>
          <w:rFonts w:ascii="宋体" w:hAnsi="宋体" w:hint="eastAsia"/>
          <w:sz w:val="22"/>
          <w:szCs w:val="22"/>
        </w:rPr>
        <w:t>在认购/申购期内，投资者可多次认购/申购，单一投资者在认购/申购期内累计认购份额的上限应遵守对应销售渠道的发行规模限制，即本理财计划累积认购/申购份额达到对应销售渠道的发行规模上限时，停止认购/申购。</w:t>
      </w:r>
    </w:p>
    <w:p w:rsidR="008E2B02" w:rsidRDefault="008E2B02" w:rsidP="008E2B02">
      <w:pPr>
        <w:adjustRightInd w:val="0"/>
        <w:snapToGrid w:val="0"/>
        <w:spacing w:line="300" w:lineRule="auto"/>
        <w:jc w:val="left"/>
        <w:rPr>
          <w:rFonts w:ascii="宋体" w:hAnsi="宋体"/>
          <w:sz w:val="22"/>
          <w:szCs w:val="22"/>
        </w:rPr>
      </w:pPr>
      <w:r>
        <w:rPr>
          <w:rFonts w:ascii="宋体" w:hAnsi="宋体" w:hint="eastAsia"/>
          <w:sz w:val="22"/>
          <w:szCs w:val="22"/>
        </w:rPr>
        <w:t>5. 认购/申购方式及确认：</w:t>
      </w:r>
    </w:p>
    <w:p w:rsidR="008E2B02" w:rsidRDefault="008E2B02" w:rsidP="008E2B02">
      <w:pPr>
        <w:adjustRightInd w:val="0"/>
        <w:snapToGrid w:val="0"/>
        <w:spacing w:line="300" w:lineRule="auto"/>
        <w:jc w:val="left"/>
        <w:rPr>
          <w:rFonts w:ascii="宋体" w:hAnsi="宋体"/>
          <w:sz w:val="22"/>
          <w:szCs w:val="22"/>
        </w:rPr>
      </w:pPr>
      <w:r>
        <w:rPr>
          <w:rFonts w:ascii="宋体" w:hAnsi="宋体" w:hint="eastAsia"/>
          <w:sz w:val="22"/>
          <w:szCs w:val="22"/>
        </w:rPr>
        <w:t>（1）本理财计划采取金额认购/申购的方式；</w:t>
      </w:r>
    </w:p>
    <w:p w:rsidR="008E2B02" w:rsidRDefault="008E2B02" w:rsidP="008E2B02">
      <w:pPr>
        <w:adjustRightInd w:val="0"/>
        <w:snapToGrid w:val="0"/>
        <w:spacing w:line="300" w:lineRule="auto"/>
        <w:jc w:val="left"/>
        <w:rPr>
          <w:rFonts w:ascii="宋体" w:hAnsi="宋体"/>
          <w:sz w:val="22"/>
          <w:szCs w:val="22"/>
        </w:rPr>
      </w:pPr>
      <w:r>
        <w:rPr>
          <w:rFonts w:ascii="宋体" w:hAnsi="宋体" w:hint="eastAsia"/>
          <w:sz w:val="22"/>
          <w:szCs w:val="22"/>
        </w:rPr>
        <w:lastRenderedPageBreak/>
        <w:t>（2）招商银行受理认购/申购申请并不表示对该申请成功的确认，而仅代表招商银行收到了认购/申购申请，申请是否有效应以招商银行的确认为准。招商银行在认购/申购登记日为投资者成功登记认购/申购份额，视为投资人的申请交易成功。投资者应在本理财计划登记日后及时查询最终成交确认情况和认购/申购的份额；</w:t>
      </w:r>
    </w:p>
    <w:p w:rsidR="008E2B02" w:rsidRDefault="008E2B02" w:rsidP="008E2B02">
      <w:pPr>
        <w:adjustRightInd w:val="0"/>
        <w:snapToGrid w:val="0"/>
        <w:spacing w:line="300" w:lineRule="auto"/>
        <w:jc w:val="left"/>
        <w:rPr>
          <w:rFonts w:ascii="宋体" w:hAnsi="宋体"/>
          <w:sz w:val="22"/>
          <w:szCs w:val="22"/>
        </w:rPr>
      </w:pPr>
      <w:r>
        <w:rPr>
          <w:rFonts w:ascii="宋体" w:hAnsi="宋体" w:hint="eastAsia"/>
          <w:sz w:val="22"/>
          <w:szCs w:val="22"/>
        </w:rPr>
        <w:t>（3）认购/申购撤单：在认购/申购登记日前的认购/申购期内允许全部或者部分撤销已递交的认购/申购申请，部分撤销只适用于投资者多次认购/申购的情况，投资者必须对应每笔认购/申购的份额逐笔撤销。投资者部分撤销后剩余的各笔认购份额总和不得低于</w:t>
      </w:r>
      <w:r w:rsidR="00FF62D6">
        <w:fldChar w:fldCharType="begin"/>
      </w:r>
      <w:r>
        <w:rPr>
          <w:rFonts w:ascii="宋体" w:hAnsi="宋体" w:hint="eastAsia"/>
          <w:sz w:val="22"/>
          <w:szCs w:val="22"/>
        </w:rPr>
        <w:instrText xml:space="preserve"> MERGEFIELD 认购起点 </w:instrText>
      </w:r>
      <w:r w:rsidR="00FF62D6">
        <w:fldChar w:fldCharType="separate"/>
      </w:r>
      <w:r>
        <w:rPr>
          <w:rFonts w:ascii="宋体" w:hAnsi="宋体" w:hint="eastAsia"/>
          <w:noProof/>
          <w:sz w:val="22"/>
          <w:szCs w:val="22"/>
        </w:rPr>
        <w:t>5万</w:t>
      </w:r>
      <w:r w:rsidR="00FF62D6">
        <w:fldChar w:fldCharType="end"/>
      </w:r>
      <w:r>
        <w:rPr>
          <w:rFonts w:ascii="宋体" w:hAnsi="宋体" w:hint="eastAsia"/>
          <w:sz w:val="22"/>
          <w:szCs w:val="22"/>
        </w:rPr>
        <w:t>份；</w:t>
      </w:r>
    </w:p>
    <w:p w:rsidR="008E2B02" w:rsidRDefault="008E2B02" w:rsidP="008E2B02">
      <w:pPr>
        <w:adjustRightInd w:val="0"/>
        <w:snapToGrid w:val="0"/>
        <w:spacing w:line="300" w:lineRule="auto"/>
        <w:jc w:val="left"/>
        <w:rPr>
          <w:rFonts w:ascii="宋体" w:hAnsi="宋体"/>
          <w:sz w:val="22"/>
          <w:szCs w:val="22"/>
        </w:rPr>
      </w:pPr>
      <w:r>
        <w:rPr>
          <w:rFonts w:ascii="宋体" w:hAnsi="宋体" w:hint="eastAsia"/>
          <w:sz w:val="22"/>
          <w:szCs w:val="22"/>
        </w:rPr>
        <w:t>（4）投资者在认购/申购期内认购成功后，认购/申购款项以人民币资金形式存入招商银行，该部分资金在认购/申购登记日前，招商银行按银行人民币活期存款利率为认购/申购款项计息。</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b/>
          <w:color w:val="000000"/>
          <w:kern w:val="0"/>
          <w:sz w:val="22"/>
          <w:szCs w:val="22"/>
          <w:lang w:val="zh-CN"/>
        </w:rPr>
        <w:t>6. 本理财计划开始认购至本理财计划原定成立日之前，如理财计划认购总金额未达到规模下限（如有约定），或国家宏观政策以及市场相关法规政策发生变化，或市场发生剧烈波动，或发生其他经招商银行合理判断难以按照本产品说明书规定向客户提供本理财计划的情形，则招商银行有权宣布本理财计划不成立。</w:t>
      </w:r>
      <w:r>
        <w:rPr>
          <w:rFonts w:asciiTheme="minorEastAsia" w:eastAsiaTheme="minorEastAsia" w:hAnsiTheme="minorEastAsia" w:hint="eastAsia"/>
          <w:color w:val="000000"/>
          <w:kern w:val="0"/>
          <w:sz w:val="22"/>
          <w:szCs w:val="22"/>
          <w:lang w:val="zh-CN"/>
        </w:rPr>
        <w:t>如理财计划不成立，招商银行将于原定的理财计划成立日后</w:t>
      </w:r>
      <w:r>
        <w:rPr>
          <w:rFonts w:asciiTheme="minorEastAsia" w:eastAsiaTheme="minorEastAsia" w:hAnsiTheme="minorEastAsia" w:hint="eastAsia"/>
          <w:color w:val="000000"/>
          <w:kern w:val="0"/>
          <w:sz w:val="22"/>
          <w:szCs w:val="22"/>
        </w:rPr>
        <w:t>2</w:t>
      </w:r>
      <w:r>
        <w:rPr>
          <w:rFonts w:asciiTheme="minorEastAsia" w:eastAsiaTheme="minorEastAsia" w:hAnsiTheme="minorEastAsia" w:hint="eastAsia"/>
          <w:color w:val="000000"/>
          <w:kern w:val="0"/>
          <w:sz w:val="22"/>
          <w:szCs w:val="22"/>
          <w:lang w:val="zh-CN"/>
        </w:rPr>
        <w:t>个工作日内将已认购资金退回投资者指定账户，认购登记日至退回资金到账日期间不计付利息。认购金额达到规模上限则本理财计划停止认购。如果理财计划不成立，投资者除无法获得本理财计划约定的投资收益外，还将影响其投资安排。</w:t>
      </w:r>
    </w:p>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提前终止</w:t>
      </w: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1. 本理财计划成立后，如出现但不限于如下情形，招商银行有权但无义务提前终止该理财计划，且提前终止时的理财收益率为招商银行在提前终止日公布的实际持有期年化收益率：</w:t>
      </w: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（1）如遇国家金融政策出现重大调整并影响到本理财计划的正常运作时，招商银行有权提前终止本理财计划；</w:t>
      </w: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（2）在理财计划存续期内，如果连续10个交易日本理财计划余额低于</w:t>
      </w:r>
      <w:r w:rsidR="00FF62D6">
        <w:fldChar w:fldCharType="begin"/>
      </w:r>
      <w:r>
        <w:rPr>
          <w:rFonts w:asciiTheme="minorEastAsia" w:eastAsiaTheme="minorEastAsia" w:hAnsiTheme="minorEastAsia" w:hint="eastAsia"/>
          <w:b/>
          <w:sz w:val="22"/>
          <w:szCs w:val="22"/>
        </w:rPr>
        <w:instrText xml:space="preserve"> MERGEFIELD 认购下限 </w:instrText>
      </w:r>
      <w:r w:rsidR="00FF62D6">
        <w:fldChar w:fldCharType="separate"/>
      </w:r>
      <w:r>
        <w:rPr>
          <w:rFonts w:asciiTheme="minorEastAsia" w:eastAsiaTheme="minorEastAsia" w:hAnsiTheme="minorEastAsia" w:hint="eastAsia"/>
          <w:b/>
          <w:noProof/>
          <w:sz w:val="22"/>
          <w:szCs w:val="22"/>
        </w:rPr>
        <w:t>1</w:t>
      </w:r>
      <w:r w:rsidR="00FF62D6">
        <w:fldChar w:fldCharType="end"/>
      </w:r>
      <w:r>
        <w:rPr>
          <w:rFonts w:asciiTheme="minorEastAsia" w:eastAsiaTheme="minorEastAsia" w:hAnsiTheme="minorEastAsia" w:hint="eastAsia"/>
          <w:b/>
          <w:sz w:val="22"/>
          <w:szCs w:val="22"/>
        </w:rPr>
        <w:t>亿份，则招商银行有权宣布终止本理财计划。</w:t>
      </w:r>
    </w:p>
    <w:p w:rsidR="008E2B02" w:rsidRDefault="008E2B02" w:rsidP="008E2B02">
      <w:pPr>
        <w:pStyle w:val="a8"/>
        <w:adjustRightInd w:val="0"/>
        <w:snapToGrid w:val="0"/>
        <w:spacing w:line="30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一旦招商银行终止本理财计划，将提前2个工作日以公告形式通知投资者，并在终止日后3个工作日内向投资者返还理财本金（如有）和理财收益（如有）。</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 风险示例</w:t>
      </w:r>
    </w:p>
    <w:p w:rsidR="008E2B02" w:rsidRDefault="008E2B02" w:rsidP="008E2B02">
      <w:pPr>
        <w:adjustRightInd w:val="0"/>
        <w:snapToGrid w:val="0"/>
        <w:spacing w:line="30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情景：本理财计划提前终止。</w:t>
      </w:r>
    </w:p>
    <w:p w:rsidR="008E2B02" w:rsidRDefault="008E2B02" w:rsidP="008E2B02">
      <w:pPr>
        <w:adjustRightInd w:val="0"/>
        <w:snapToGrid w:val="0"/>
        <w:spacing w:line="300" w:lineRule="auto"/>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本理财计划成立3个工作日后，招商银行如提前终止该理财计划，则投资者持有该理财计划至提前终止日。如招商银行决定提前终止该理财计划，将在提前终止日前2个工作日，在“一网通”网站（www.cmbchina.com）发布相关信息公告，并在提前终止日后3个工作日内将投资者理财本金和理财收益划转至投资者指定账户。</w:t>
      </w:r>
    </w:p>
    <w:p w:rsidR="008E2B02" w:rsidRDefault="008E2B02" w:rsidP="008E2B02">
      <w:pPr>
        <w:adjustRightInd w:val="0"/>
        <w:snapToGrid w:val="0"/>
        <w:spacing w:line="300" w:lineRule="auto"/>
        <w:ind w:firstLineChars="200" w:firstLine="442"/>
        <w:rPr>
          <w:rFonts w:asciiTheme="minorEastAsia" w:eastAsiaTheme="minorEastAsia" w:hAnsiTheme="minorEastAsia"/>
          <w:b/>
          <w:sz w:val="22"/>
          <w:szCs w:val="22"/>
        </w:rPr>
      </w:pPr>
      <w:r>
        <w:rPr>
          <w:rFonts w:asciiTheme="minorEastAsia" w:eastAsiaTheme="minorEastAsia" w:hAnsiTheme="minorEastAsia" w:hint="eastAsia"/>
          <w:b/>
          <w:sz w:val="22"/>
          <w:szCs w:val="22"/>
        </w:rPr>
        <w:t>因此，如果本理财计划提前终止，则该理财计划的实际理财期将小于预定理财持有期限，投资者将无法实现期初预期的全部收益，同时还将影响其投资安排。</w:t>
      </w:r>
    </w:p>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lastRenderedPageBreak/>
        <w:t>本金及理财收益支付</w:t>
      </w:r>
    </w:p>
    <w:p w:rsidR="008E2B02" w:rsidRDefault="008E2B02" w:rsidP="008E2B02">
      <w:pPr>
        <w:adjustRightInd w:val="0"/>
        <w:snapToGrid w:val="0"/>
        <w:spacing w:line="300" w:lineRule="auto"/>
        <w:jc w:val="left"/>
        <w:rPr>
          <w:rFonts w:asciiTheme="minorEastAsia" w:eastAsiaTheme="minorEastAsia" w:hAnsiTheme="minorEastAsia"/>
          <w:sz w:val="22"/>
          <w:szCs w:val="22"/>
        </w:rPr>
      </w:pPr>
      <w:r>
        <w:rPr>
          <w:rFonts w:asciiTheme="minorEastAsia" w:eastAsiaTheme="minorEastAsia" w:hAnsiTheme="minorEastAsia" w:hint="eastAsia"/>
          <w:sz w:val="22"/>
          <w:szCs w:val="22"/>
        </w:rPr>
        <w:t>1. 赎回理财本金（如有，下同）支付：投资者持有本理财计划至持有期限或提前终止日，招商银行不保障理财本金，并在赎回登记日后或提前终止日后3个工作日内将理财本金转至投资者指定账户。</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 理财收益（如有，下同）支付：投资者持有本理财计划至持有期限或提前终止日，招商银行在本理财计划赎回登记日后或提前终止日3个工作日内根据公布的理财计划持有期年化收益率计算投资者应得理财收益后，将理财收益划转至投资者指定账户。</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3. 如因资产组合中金融资产以及债券违约、延期等情况而导致资产组合不能全部变现或部分变现，则招商银行将对理财计划所持有的资产组合进行变现，并将变现后的资产组合扣除理财计划应承担的费用后向理财计划投资者支付。在这种情况下，理财计划持有期限相应顺延。</w:t>
      </w:r>
    </w:p>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color w:val="000000"/>
          <w:sz w:val="22"/>
          <w:szCs w:val="22"/>
        </w:rPr>
      </w:pPr>
      <w:r>
        <w:rPr>
          <w:rFonts w:asciiTheme="minorEastAsia" w:eastAsiaTheme="minorEastAsia" w:hAnsiTheme="minorEastAsia" w:hint="eastAsia"/>
          <w:b/>
          <w:color w:val="000000"/>
          <w:sz w:val="22"/>
          <w:szCs w:val="22"/>
        </w:rPr>
        <w:t>信息公告</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color w:val="000000"/>
          <w:kern w:val="0"/>
          <w:sz w:val="22"/>
          <w:szCs w:val="22"/>
        </w:rPr>
        <w:t>1．</w:t>
      </w:r>
      <w:r>
        <w:rPr>
          <w:rFonts w:asciiTheme="minorEastAsia" w:eastAsiaTheme="minorEastAsia" w:hAnsiTheme="minorEastAsia" w:hint="eastAsia"/>
          <w:sz w:val="22"/>
          <w:szCs w:val="22"/>
        </w:rPr>
        <w:t>招商银行“一网通”网站（www.cmbchina.com）为公布本理财计划各类信息的唯一指定网站。</w:t>
      </w:r>
    </w:p>
    <w:p w:rsidR="008E2B02" w:rsidRDefault="008E2B02" w:rsidP="008E2B02">
      <w:pPr>
        <w:adjustRightInd w:val="0"/>
        <w:snapToGrid w:val="0"/>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2.本理财计划持续期间内，招商银行有权通过在“一网通”网站（www.cmbchina.com）以及其他信息平台、渠道发布公告的形式，对说明书条款进行补充、说明和修改。请投资者应定期通过上述相关渠道获知有关本理财计划相关信息。</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3.</w:t>
      </w:r>
      <w:r>
        <w:rPr>
          <w:rFonts w:asciiTheme="minorEastAsia" w:eastAsiaTheme="minorEastAsia" w:hAnsiTheme="minorEastAsia" w:hint="eastAsia"/>
          <w:color w:val="000000"/>
          <w:kern w:val="0"/>
          <w:sz w:val="22"/>
          <w:szCs w:val="22"/>
          <w:lang w:val="zh-CN"/>
        </w:rPr>
        <w:t>如招商银行决定本理财计划不成立</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将在决定本理财计划不成立后的</w:t>
      </w:r>
      <w:r>
        <w:rPr>
          <w:rFonts w:asciiTheme="minorEastAsia" w:eastAsiaTheme="minorEastAsia" w:hAnsiTheme="minorEastAsia" w:hint="eastAsia"/>
          <w:color w:val="000000"/>
          <w:kern w:val="0"/>
          <w:sz w:val="22"/>
          <w:szCs w:val="22"/>
        </w:rPr>
        <w:t>1</w:t>
      </w:r>
      <w:r>
        <w:rPr>
          <w:rFonts w:asciiTheme="minorEastAsia" w:eastAsiaTheme="minorEastAsia" w:hAnsiTheme="minorEastAsia" w:hint="eastAsia"/>
          <w:color w:val="000000"/>
          <w:kern w:val="0"/>
          <w:sz w:val="22"/>
          <w:szCs w:val="22"/>
          <w:lang w:val="zh-CN"/>
        </w:rPr>
        <w:t>个工作日</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在</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一网通</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发布相关信息公告。</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4．</w:t>
      </w:r>
      <w:r>
        <w:rPr>
          <w:rFonts w:asciiTheme="minorEastAsia" w:eastAsiaTheme="minorEastAsia" w:hAnsiTheme="minorEastAsia" w:hint="eastAsia"/>
          <w:color w:val="000000"/>
          <w:kern w:val="0"/>
          <w:sz w:val="22"/>
          <w:szCs w:val="22"/>
          <w:lang w:val="zh-CN"/>
        </w:rPr>
        <w:t>如招商银行决定提前终止本理财计划</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将在提前终止日前</w:t>
      </w:r>
      <w:r>
        <w:rPr>
          <w:rFonts w:asciiTheme="minorEastAsia" w:eastAsiaTheme="minorEastAsia" w:hAnsiTheme="minorEastAsia" w:hint="eastAsia"/>
          <w:color w:val="000000"/>
          <w:kern w:val="0"/>
          <w:sz w:val="22"/>
          <w:szCs w:val="22"/>
        </w:rPr>
        <w:t>2</w:t>
      </w:r>
      <w:r>
        <w:rPr>
          <w:rFonts w:asciiTheme="minorEastAsia" w:eastAsiaTheme="minorEastAsia" w:hAnsiTheme="minorEastAsia" w:hint="eastAsia"/>
          <w:color w:val="000000"/>
          <w:kern w:val="0"/>
          <w:sz w:val="22"/>
          <w:szCs w:val="22"/>
          <w:lang w:val="zh-CN"/>
        </w:rPr>
        <w:t>个工作日</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在</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一网通</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发布相关信息公告。</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5．</w:t>
      </w:r>
      <w:r>
        <w:rPr>
          <w:rFonts w:asciiTheme="minorEastAsia" w:eastAsiaTheme="minorEastAsia" w:hAnsiTheme="minorEastAsia" w:hint="eastAsia"/>
          <w:color w:val="000000"/>
          <w:kern w:val="0"/>
          <w:sz w:val="22"/>
          <w:szCs w:val="22"/>
          <w:lang w:val="zh-CN"/>
        </w:rPr>
        <w:t>如招商银行决定延长本理财计划理财持有期限</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将在原到期日前</w:t>
      </w:r>
      <w:r>
        <w:rPr>
          <w:rFonts w:asciiTheme="minorEastAsia" w:eastAsiaTheme="minorEastAsia" w:hAnsiTheme="minorEastAsia" w:hint="eastAsia"/>
          <w:color w:val="000000"/>
          <w:kern w:val="0"/>
          <w:sz w:val="22"/>
          <w:szCs w:val="22"/>
        </w:rPr>
        <w:t>2</w:t>
      </w:r>
      <w:r>
        <w:rPr>
          <w:rFonts w:asciiTheme="minorEastAsia" w:eastAsiaTheme="minorEastAsia" w:hAnsiTheme="minorEastAsia" w:hint="eastAsia"/>
          <w:color w:val="000000"/>
          <w:kern w:val="0"/>
          <w:sz w:val="22"/>
          <w:szCs w:val="22"/>
          <w:lang w:val="zh-CN"/>
        </w:rPr>
        <w:t>个工作日</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在</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一网通</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发布相关信息公告。</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xml:space="preserve">6. </w:t>
      </w:r>
      <w:r>
        <w:rPr>
          <w:rFonts w:asciiTheme="minorEastAsia" w:eastAsiaTheme="minorEastAsia" w:hAnsiTheme="minorEastAsia" w:hint="eastAsia"/>
          <w:color w:val="000000"/>
          <w:kern w:val="0"/>
          <w:sz w:val="22"/>
          <w:szCs w:val="22"/>
          <w:lang w:val="zh-CN"/>
        </w:rPr>
        <w:t>若发生招商银行获知并经招商银行合理判断认为对理财计划本金及收益有重大影响的事件</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招商银行将在</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一网通</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发布相关信息公告。</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lang w:val="zh-CN"/>
        </w:rPr>
        <w:t>7.</w:t>
      </w:r>
      <w:r>
        <w:rPr>
          <w:rFonts w:asciiTheme="minorEastAsia" w:eastAsiaTheme="minorEastAsia" w:hAnsiTheme="minorEastAsia" w:hint="eastAsia"/>
          <w:b/>
          <w:sz w:val="22"/>
          <w:szCs w:val="22"/>
        </w:rPr>
        <w:t xml:space="preserve"> 在本理财产品存续期内可能因市场的重大变化导致投资比例暂时超出投资比例区间，银行将尽合理努力，以客户利益最大化为原则尽快使投资比例恢复至规定区间。银行将在“一网通”网站（www.cmbchina.com）公告的方式通知投资者。</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xml:space="preserve">8. </w:t>
      </w:r>
      <w:r>
        <w:rPr>
          <w:rFonts w:asciiTheme="minorEastAsia" w:eastAsiaTheme="minorEastAsia" w:hAnsiTheme="minorEastAsia" w:hint="eastAsia"/>
          <w:color w:val="000000"/>
          <w:kern w:val="0"/>
          <w:sz w:val="22"/>
          <w:szCs w:val="22"/>
          <w:lang w:val="zh-CN"/>
        </w:rPr>
        <w:t>在产品存续期内</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招商银行对投资范围、投资品种或投资比例进行调整的</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将提前</w:t>
      </w:r>
      <w:r>
        <w:rPr>
          <w:rFonts w:asciiTheme="minorEastAsia" w:eastAsiaTheme="minorEastAsia" w:hAnsiTheme="minorEastAsia" w:hint="eastAsia"/>
          <w:color w:val="000000"/>
          <w:kern w:val="0"/>
          <w:sz w:val="22"/>
          <w:szCs w:val="22"/>
        </w:rPr>
        <w:t>2</w:t>
      </w:r>
      <w:r>
        <w:rPr>
          <w:rFonts w:asciiTheme="minorEastAsia" w:eastAsiaTheme="minorEastAsia" w:hAnsiTheme="minorEastAsia" w:hint="eastAsia"/>
          <w:color w:val="000000"/>
          <w:kern w:val="0"/>
          <w:sz w:val="22"/>
          <w:szCs w:val="22"/>
          <w:lang w:val="zh-CN"/>
        </w:rPr>
        <w:t>个工作日以在一网通网站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上公告的方式通知投资者。</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 xml:space="preserve">9. </w:t>
      </w:r>
      <w:r>
        <w:rPr>
          <w:rFonts w:asciiTheme="minorEastAsia" w:eastAsiaTheme="minorEastAsia" w:hAnsiTheme="minorEastAsia" w:hint="eastAsia"/>
          <w:color w:val="000000"/>
          <w:kern w:val="0"/>
          <w:sz w:val="22"/>
          <w:szCs w:val="22"/>
          <w:lang w:val="zh-CN"/>
        </w:rPr>
        <w:t>在产品存续期内</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招商银行对收费项目、收费条件、收费标准和收费方式进行调整的</w:t>
      </w:r>
      <w:r>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lang w:val="zh-CN"/>
        </w:rPr>
        <w:t>将提前</w:t>
      </w:r>
      <w:r>
        <w:rPr>
          <w:rFonts w:asciiTheme="minorEastAsia" w:eastAsiaTheme="minorEastAsia" w:hAnsiTheme="minorEastAsia" w:hint="eastAsia"/>
          <w:color w:val="000000"/>
          <w:kern w:val="0"/>
          <w:sz w:val="22"/>
          <w:szCs w:val="22"/>
        </w:rPr>
        <w:t>2</w:t>
      </w:r>
      <w:r>
        <w:rPr>
          <w:rFonts w:asciiTheme="minorEastAsia" w:eastAsiaTheme="minorEastAsia" w:hAnsiTheme="minorEastAsia" w:hint="eastAsia"/>
          <w:color w:val="000000"/>
          <w:kern w:val="0"/>
          <w:sz w:val="22"/>
          <w:szCs w:val="22"/>
          <w:lang w:val="zh-CN"/>
        </w:rPr>
        <w:t>个工作日以在一网通网站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上公告的方式通知投资者。</w:t>
      </w:r>
    </w:p>
    <w:p w:rsidR="008E2B02" w:rsidRDefault="008E2B02" w:rsidP="008E2B02">
      <w:pPr>
        <w:autoSpaceDE w:val="0"/>
        <w:autoSpaceDN w:val="0"/>
        <w:adjustRightInd w:val="0"/>
        <w:snapToGrid w:val="0"/>
        <w:spacing w:line="300" w:lineRule="auto"/>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rPr>
        <w:t>10</w:t>
      </w:r>
      <w:r>
        <w:rPr>
          <w:rFonts w:asciiTheme="minorEastAsia" w:eastAsiaTheme="minorEastAsia" w:hAnsiTheme="minorEastAsia" w:hint="eastAsia"/>
          <w:color w:val="000000"/>
          <w:kern w:val="0"/>
          <w:sz w:val="22"/>
          <w:szCs w:val="22"/>
          <w:lang w:val="zh-CN"/>
        </w:rPr>
        <w:t>. 在本产品存续期内，如因国家法律法规、监管规定发生变化，或是出于维持本产品正常运营的需要，在不损害投资者利益的前提下，招商银行有权单方对本产品说明书进行修订。招商银行决定对产品说明书进行修订的，将提前2个工作日以在一网通网站（</w:t>
      </w:r>
      <w:r>
        <w:rPr>
          <w:rFonts w:asciiTheme="minorEastAsia" w:eastAsiaTheme="minorEastAsia" w:hAnsiTheme="minorEastAsia" w:hint="eastAsia"/>
          <w:color w:val="000000"/>
          <w:kern w:val="0"/>
          <w:sz w:val="22"/>
          <w:szCs w:val="22"/>
        </w:rPr>
        <w:t>www.cmbchina.com</w:t>
      </w:r>
      <w:r>
        <w:rPr>
          <w:rFonts w:asciiTheme="minorEastAsia" w:eastAsiaTheme="minorEastAsia" w:hAnsiTheme="minorEastAsia" w:hint="eastAsia"/>
          <w:color w:val="000000"/>
          <w:kern w:val="0"/>
          <w:sz w:val="22"/>
          <w:szCs w:val="22"/>
          <w:lang w:val="zh-CN"/>
        </w:rPr>
        <w:t>）上公告的方式通知投资者。</w:t>
      </w:r>
    </w:p>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adjustRightInd w:val="0"/>
        <w:snapToGrid w:val="0"/>
        <w:spacing w:line="300"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相关事项说明</w:t>
      </w:r>
    </w:p>
    <w:p w:rsidR="008E2B02" w:rsidRDefault="008E2B02" w:rsidP="008E2B02">
      <w:pPr>
        <w:pStyle w:val="aa"/>
        <w:numPr>
          <w:ilvl w:val="0"/>
          <w:numId w:val="4"/>
        </w:numPr>
        <w:autoSpaceDE w:val="0"/>
        <w:autoSpaceDN w:val="0"/>
        <w:adjustRightInd w:val="0"/>
        <w:snapToGrid w:val="0"/>
        <w:spacing w:line="300" w:lineRule="auto"/>
        <w:ind w:firstLineChars="0"/>
        <w:jc w:val="left"/>
        <w:rPr>
          <w:rFonts w:asciiTheme="minorEastAsia" w:eastAsiaTheme="minorEastAsia" w:hAnsiTheme="minorEastAsia"/>
          <w:color w:val="000000"/>
          <w:kern w:val="0"/>
          <w:sz w:val="22"/>
          <w:szCs w:val="22"/>
          <w:lang w:val="zh-CN"/>
        </w:rPr>
      </w:pPr>
      <w:r>
        <w:rPr>
          <w:rFonts w:asciiTheme="minorEastAsia" w:eastAsiaTheme="minorEastAsia" w:hAnsiTheme="minorEastAsia" w:hint="eastAsia"/>
          <w:color w:val="000000"/>
          <w:kern w:val="0"/>
          <w:sz w:val="22"/>
          <w:szCs w:val="22"/>
          <w:lang w:val="zh-CN"/>
        </w:rPr>
        <w:lastRenderedPageBreak/>
        <w:t>本理财计划中示例均采用假设数据，并不代表客户实际可获得的收益。</w:t>
      </w:r>
    </w:p>
    <w:p w:rsidR="008E2B02" w:rsidRDefault="008E2B02" w:rsidP="008E2B02">
      <w:pPr>
        <w:pStyle w:val="aa"/>
        <w:numPr>
          <w:ilvl w:val="0"/>
          <w:numId w:val="4"/>
        </w:numPr>
        <w:adjustRightInd w:val="0"/>
        <w:snapToGrid w:val="0"/>
        <w:spacing w:line="300" w:lineRule="auto"/>
        <w:ind w:firstLineChars="0"/>
        <w:rPr>
          <w:rFonts w:asciiTheme="minorEastAsia" w:eastAsiaTheme="minorEastAsia" w:hAnsiTheme="minorEastAsia"/>
          <w:sz w:val="22"/>
          <w:szCs w:val="22"/>
        </w:rPr>
      </w:pPr>
      <w:r>
        <w:rPr>
          <w:rFonts w:asciiTheme="minorEastAsia" w:eastAsiaTheme="minorEastAsia" w:hAnsiTheme="minorEastAsia" w:hint="eastAsia"/>
          <w:sz w:val="22"/>
          <w:szCs w:val="22"/>
        </w:rPr>
        <w:t>时间规定：受理时间、信息公布的相关时间以招商银行业务处理系统记录的北京时间为准。</w:t>
      </w:r>
    </w:p>
    <w:p w:rsidR="008E2B02" w:rsidRDefault="008E2B02" w:rsidP="008E2B02">
      <w:pPr>
        <w:pStyle w:val="Default"/>
        <w:numPr>
          <w:ilvl w:val="0"/>
          <w:numId w:val="4"/>
        </w:num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托管行和托管专户：托管行为招商银行股份有限公司，本理财产品在托管行开立托管专户。</w:t>
      </w:r>
    </w:p>
    <w:p w:rsidR="008E2B02" w:rsidRDefault="008E2B02" w:rsidP="008E2B02">
      <w:pPr>
        <w:pStyle w:val="Default"/>
        <w:numPr>
          <w:ilvl w:val="0"/>
          <w:numId w:val="4"/>
        </w:num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信托计划：指招商银行作为委托人和受益人，将通过发行理财计划募集的部分资金委托给受托人，受托人根据信托合同的规定，设立合法的信托计划。 </w:t>
      </w:r>
    </w:p>
    <w:p w:rsidR="008E2B02" w:rsidRDefault="008E2B02" w:rsidP="008E2B02">
      <w:pPr>
        <w:pStyle w:val="Default"/>
        <w:numPr>
          <w:ilvl w:val="0"/>
          <w:numId w:val="4"/>
        </w:num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定向资产管理计划：指招商银行作为委托人，将通过发行理财计划募集的部分资金委托给资产管理人，资产管理人根据定向资产合同的规定，设立合法的资产管理计划。</w:t>
      </w:r>
    </w:p>
    <w:p w:rsidR="008E2B02" w:rsidRDefault="008E2B02" w:rsidP="008E2B02">
      <w:pPr>
        <w:pStyle w:val="Default"/>
        <w:numPr>
          <w:ilvl w:val="0"/>
          <w:numId w:val="4"/>
        </w:numPr>
        <w:spacing w:line="300" w:lineRule="auto"/>
        <w:rPr>
          <w:rFonts w:asciiTheme="minorEastAsia" w:eastAsiaTheme="minorEastAsia" w:hAnsiTheme="minorEastAsia"/>
          <w:sz w:val="22"/>
          <w:szCs w:val="22"/>
        </w:rPr>
      </w:pPr>
      <w:r>
        <w:rPr>
          <w:rFonts w:asciiTheme="minorEastAsia" w:eastAsiaTheme="minorEastAsia" w:hAnsiTheme="minorEastAsia" w:hint="eastAsia"/>
          <w:sz w:val="22"/>
          <w:szCs w:val="22"/>
          <w:lang w:val="zh-CN"/>
        </w:rPr>
        <w:t>如投资者对本理财计划有任何异议或意见，请联系招商银行的理财经理或反馈至招商银行各营业网点，也可致电招商银行全国统一客户服务热线（</w:t>
      </w:r>
      <w:r>
        <w:rPr>
          <w:rFonts w:asciiTheme="minorEastAsia" w:eastAsiaTheme="minorEastAsia" w:hAnsiTheme="minorEastAsia" w:hint="eastAsia"/>
          <w:sz w:val="22"/>
          <w:szCs w:val="22"/>
        </w:rPr>
        <w:t>95555</w:t>
      </w:r>
      <w:r>
        <w:rPr>
          <w:rFonts w:asciiTheme="minorEastAsia" w:eastAsiaTheme="minorEastAsia" w:hAnsiTheme="minorEastAsia" w:hint="eastAsia"/>
          <w:sz w:val="22"/>
          <w:szCs w:val="22"/>
          <w:lang w:val="zh-CN"/>
        </w:rPr>
        <w:t>）。</w:t>
      </w:r>
    </w:p>
    <w:bookmarkEnd w:id="0"/>
    <w:bookmarkEnd w:id="1"/>
    <w:p w:rsidR="008E2B02" w:rsidRDefault="008E2B02" w:rsidP="008E2B02">
      <w:pPr>
        <w:adjustRightInd w:val="0"/>
        <w:snapToGrid w:val="0"/>
        <w:spacing w:line="300" w:lineRule="auto"/>
        <w:rPr>
          <w:rFonts w:asciiTheme="minorEastAsia" w:eastAsiaTheme="minorEastAsia" w:hAnsiTheme="minorEastAsia"/>
          <w:sz w:val="22"/>
          <w:szCs w:val="22"/>
        </w:rPr>
      </w:pPr>
    </w:p>
    <w:p w:rsidR="008E2B02" w:rsidRDefault="008E2B02" w:rsidP="008E2B02">
      <w:pPr>
        <w:widowControl/>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br w:type="page"/>
      </w:r>
    </w:p>
    <w:p w:rsidR="008E2B02" w:rsidRDefault="008E2B02" w:rsidP="008E2B02">
      <w:pPr>
        <w:spacing w:line="300" w:lineRule="auto"/>
        <w:jc w:val="center"/>
        <w:rPr>
          <w:b/>
          <w:sz w:val="32"/>
        </w:rPr>
      </w:pPr>
      <w:r>
        <w:rPr>
          <w:rFonts w:hint="eastAsia"/>
          <w:b/>
          <w:sz w:val="32"/>
        </w:rPr>
        <w:lastRenderedPageBreak/>
        <w:t>招商银行个人理财客户权益须知</w:t>
      </w:r>
    </w:p>
    <w:p w:rsidR="008E2B02" w:rsidRDefault="008E2B02" w:rsidP="008E2B02">
      <w:pPr>
        <w:spacing w:line="300" w:lineRule="auto"/>
        <w:jc w:val="center"/>
        <w:rPr>
          <w:rFonts w:ascii="宋体" w:hAnsi="宋体"/>
          <w:b/>
          <w:sz w:val="22"/>
        </w:rPr>
      </w:pPr>
      <w:r>
        <w:rPr>
          <w:rFonts w:ascii="宋体" w:hAnsi="宋体" w:hint="eastAsia"/>
          <w:b/>
          <w:sz w:val="22"/>
        </w:rPr>
        <w:t>（适用于个人投资者）</w:t>
      </w:r>
    </w:p>
    <w:p w:rsidR="008E2B02" w:rsidRDefault="008E2B02" w:rsidP="008E2B02">
      <w:pPr>
        <w:spacing w:line="300" w:lineRule="auto"/>
        <w:rPr>
          <w:rFonts w:ascii="宋体" w:hAnsi="宋体"/>
          <w:sz w:val="22"/>
        </w:rPr>
      </w:pPr>
      <w:r>
        <w:rPr>
          <w:rFonts w:ascii="宋体" w:hAnsi="宋体" w:hint="eastAsia"/>
          <w:sz w:val="22"/>
        </w:rPr>
        <w:t>尊敬的投资者：</w:t>
      </w:r>
    </w:p>
    <w:p w:rsidR="008E2B02" w:rsidRDefault="008E2B02" w:rsidP="008E2B02">
      <w:pPr>
        <w:spacing w:line="300" w:lineRule="auto"/>
        <w:ind w:firstLineChars="196" w:firstLine="433"/>
        <w:rPr>
          <w:rFonts w:ascii="宋体" w:hAnsi="宋体"/>
          <w:b/>
          <w:sz w:val="22"/>
        </w:rPr>
      </w:pPr>
      <w:r>
        <w:rPr>
          <w:rFonts w:ascii="宋体" w:hAnsi="宋体" w:hint="eastAsia"/>
          <w:b/>
          <w:sz w:val="22"/>
        </w:rPr>
        <w:t>理财非存款、产品有风险、投资须谨慎。</w:t>
      </w:r>
    </w:p>
    <w:p w:rsidR="008E2B02" w:rsidRDefault="008E2B02" w:rsidP="008E2B02">
      <w:pPr>
        <w:spacing w:line="300" w:lineRule="auto"/>
        <w:ind w:firstLineChars="200" w:firstLine="440"/>
        <w:rPr>
          <w:rFonts w:ascii="宋体" w:hAnsi="宋体"/>
          <w:sz w:val="22"/>
        </w:rPr>
      </w:pPr>
      <w:r>
        <w:rPr>
          <w:rFonts w:ascii="宋体" w:hAnsi="宋体" w:hint="eastAsia"/>
          <w:sz w:val="22"/>
        </w:rPr>
        <w:t>银行理财产品是指商业银行在对潜在目标客户群进行分析研究的基础上，针对特定目标客户群开发设计并销售的资金投资和管理计划。理财产品分为保证收益理财产品，保本浮动收益理财产品和非保本浮动收益理财产品三大类，请您充分认识不同类型产品的投资风险，谨慎投资。</w:t>
      </w: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为了保护您的合法权益，建议您：</w:t>
      </w:r>
      <w:r>
        <w:rPr>
          <w:rFonts w:ascii="宋体" w:hAnsi="宋体" w:hint="eastAsia"/>
          <w:b/>
          <w:kern w:val="0"/>
          <w:sz w:val="22"/>
        </w:rPr>
        <w:t>首先</w:t>
      </w:r>
      <w:r>
        <w:rPr>
          <w:rFonts w:ascii="宋体" w:hAnsi="宋体" w:hint="eastAsia"/>
          <w:kern w:val="0"/>
          <w:sz w:val="22"/>
        </w:rPr>
        <w:t>，请在投资银行理财产品前，通过我行专门为您设计的个人风险承受能力评估流程，了解您的投资目标，风险偏好和产品需求。</w:t>
      </w:r>
      <w:r>
        <w:rPr>
          <w:rFonts w:ascii="宋体" w:hAnsi="宋体" w:hint="eastAsia"/>
          <w:b/>
          <w:kern w:val="0"/>
          <w:sz w:val="22"/>
        </w:rPr>
        <w:t>其次</w:t>
      </w:r>
      <w:r>
        <w:rPr>
          <w:rFonts w:ascii="宋体" w:hAnsi="宋体" w:hint="eastAsia"/>
          <w:kern w:val="0"/>
          <w:sz w:val="22"/>
        </w:rPr>
        <w:t>，请认真阅读银行理财产品的相关销售文件，具体为《理财产品销售协议书》、《产品说明书》、《风险揭示书》和本《客户权益须知》等，然后选择购买与您自身风险承受能力相匹配的产品。您在阅读时如有不明之处，可及时向我行理财人员进行咨询。</w:t>
      </w:r>
      <w:r>
        <w:rPr>
          <w:rFonts w:ascii="宋体" w:hAnsi="宋体" w:hint="eastAsia"/>
          <w:b/>
          <w:kern w:val="0"/>
          <w:sz w:val="22"/>
        </w:rPr>
        <w:t>最后</w:t>
      </w:r>
      <w:r>
        <w:rPr>
          <w:rFonts w:ascii="宋体" w:hAnsi="宋体" w:hint="eastAsia"/>
          <w:kern w:val="0"/>
          <w:sz w:val="22"/>
        </w:rPr>
        <w:t>，请关注我行对理财产品的信息披露渠道与频率以及我行相关联络方式，以及当您对所购买的理财产品有任何异议或意见时请及时向我行反馈。我行将以诚实守信、勤勉尽责的态度竭诚为您提供专业的服务。</w:t>
      </w:r>
    </w:p>
    <w:p w:rsidR="008E2B02" w:rsidRDefault="008E2B02" w:rsidP="008E2B02">
      <w:pPr>
        <w:spacing w:line="300" w:lineRule="auto"/>
        <w:ind w:firstLineChars="196" w:firstLine="433"/>
        <w:rPr>
          <w:rStyle w:val="detail1"/>
          <w:rFonts w:ascii="宋体" w:hAnsi="宋体"/>
          <w:b/>
          <w:sz w:val="22"/>
        </w:rPr>
      </w:pPr>
    </w:p>
    <w:p w:rsidR="008E2B02" w:rsidRDefault="008E2B02" w:rsidP="008E2B02">
      <w:pPr>
        <w:spacing w:line="300" w:lineRule="auto"/>
        <w:ind w:firstLineChars="196" w:firstLine="431"/>
        <w:rPr>
          <w:rStyle w:val="detail1"/>
          <w:rFonts w:ascii="宋体" w:hAnsi="宋体"/>
          <w:b/>
          <w:sz w:val="22"/>
        </w:rPr>
      </w:pPr>
      <w:r>
        <w:rPr>
          <w:rStyle w:val="detail1"/>
          <w:rFonts w:ascii="宋体" w:hAnsi="宋体" w:hint="eastAsia"/>
          <w:sz w:val="22"/>
        </w:rPr>
        <w:t>一、购买理财产品三部曲：</w:t>
      </w:r>
    </w:p>
    <w:p w:rsidR="008E2B02" w:rsidRDefault="008E2B02" w:rsidP="008E2B02">
      <w:pPr>
        <w:spacing w:line="300" w:lineRule="auto"/>
        <w:ind w:firstLineChars="196" w:firstLine="431"/>
      </w:pPr>
      <w:r>
        <w:rPr>
          <w:rStyle w:val="detail1"/>
          <w:rFonts w:ascii="宋体" w:hAnsi="宋体" w:hint="eastAsia"/>
          <w:sz w:val="22"/>
        </w:rPr>
        <w:t>第一部 了解您的投资需求和风险承受能力</w:t>
      </w:r>
    </w:p>
    <w:p w:rsidR="008E2B02" w:rsidRDefault="008E2B02" w:rsidP="008E2B02">
      <w:pPr>
        <w:spacing w:line="300" w:lineRule="auto"/>
        <w:ind w:firstLineChars="200" w:firstLine="440"/>
        <w:rPr>
          <w:rFonts w:ascii="宋体" w:hAnsi="宋体"/>
          <w:kern w:val="0"/>
          <w:sz w:val="22"/>
        </w:rPr>
      </w:pPr>
      <w:r>
        <w:rPr>
          <w:rFonts w:ascii="宋体" w:hAnsi="宋体" w:hint="eastAsia"/>
          <w:sz w:val="22"/>
        </w:rPr>
        <w:t>根据《商业银行理财产品销售管理办法》要求，银行在</w:t>
      </w:r>
      <w:r>
        <w:rPr>
          <w:rFonts w:ascii="宋体" w:hAnsi="宋体" w:hint="eastAsia"/>
          <w:kern w:val="0"/>
          <w:sz w:val="22"/>
        </w:rPr>
        <w:t>客户投资银行理财产品前，必须对客户的风险承受能力进行评估，以保障客户购买的理财产品与其风险承受能力相匹配。我行将从客户年龄、财务状况、投资经验、投资目的、收益预期、风险偏好、流动性要求、风险认识以及风险损失承受程度等方面，协助您全面了解您的投资需求和您的风险承受能力，帮助您选择适合自己风险承受能力的理财产品。</w:t>
      </w: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根据客户的不同情况，我行将客户风险承受能力分为谨慎型（A1）、稳健型（A2）、平衡型（A3）、进取型（A4）、激进型（A5）五个等级。与此同时，根据银行理财产品投资范围、风险收益特点、流动性等不同因素，我行理财产品分为谨慎型产品（R1）、稳健型产品（R2）、平衡型产品（R3）、进取型产品（R4）、激进型产品（R5）五个风险等级。我行根据风险匹配原则，在客户风险承受能力等级和产品风险等级之间建立如下对应关系，建议您根据自身情况，选择适合自己风险承受能力的理财产品，详见下表：</w:t>
      </w:r>
    </w:p>
    <w:p w:rsidR="008E2B02" w:rsidRDefault="008E2B02" w:rsidP="008E2B02">
      <w:pPr>
        <w:spacing w:line="300" w:lineRule="auto"/>
        <w:ind w:firstLineChars="200" w:firstLine="440"/>
        <w:rPr>
          <w:rFonts w:ascii="宋体" w:hAnsi="宋体"/>
          <w:sz w:val="22"/>
        </w:rPr>
      </w:pPr>
    </w:p>
    <w:tbl>
      <w:tblPr>
        <w:tblpPr w:leftFromText="180" w:rightFromText="180" w:vertAnchor="text" w:tblpX="182" w:tblpY="1"/>
        <w:tblOverlap w:val="never"/>
        <w:tblW w:w="8613" w:type="dxa"/>
        <w:tblLook w:val="04A0" w:firstRow="1" w:lastRow="0" w:firstColumn="1" w:lastColumn="0" w:noHBand="0" w:noVBand="1"/>
      </w:tblPr>
      <w:tblGrid>
        <w:gridCol w:w="1101"/>
        <w:gridCol w:w="4394"/>
        <w:gridCol w:w="3118"/>
      </w:tblGrid>
      <w:tr w:rsidR="008E2B02" w:rsidTr="008E2B02">
        <w:trPr>
          <w:trHeight w:val="285"/>
        </w:trPr>
        <w:tc>
          <w:tcPr>
            <w:tcW w:w="1101" w:type="dxa"/>
            <w:tcBorders>
              <w:top w:val="single" w:sz="4" w:space="0" w:color="auto"/>
              <w:left w:val="single" w:sz="4" w:space="0" w:color="auto"/>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客户类型</w:t>
            </w:r>
          </w:p>
        </w:tc>
        <w:tc>
          <w:tcPr>
            <w:tcW w:w="4394" w:type="dxa"/>
            <w:tcBorders>
              <w:top w:val="single" w:sz="4" w:space="0" w:color="auto"/>
              <w:left w:val="nil"/>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风险特征描述</w:t>
            </w:r>
          </w:p>
        </w:tc>
        <w:tc>
          <w:tcPr>
            <w:tcW w:w="3118" w:type="dxa"/>
            <w:tcBorders>
              <w:top w:val="single" w:sz="4" w:space="0" w:color="auto"/>
              <w:left w:val="nil"/>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适合的产品类型</w:t>
            </w:r>
          </w:p>
        </w:tc>
      </w:tr>
      <w:tr w:rsidR="008E2B02" w:rsidTr="008E2B02">
        <w:trPr>
          <w:trHeight w:val="285"/>
        </w:trPr>
        <w:tc>
          <w:tcPr>
            <w:tcW w:w="1101" w:type="dxa"/>
            <w:tcBorders>
              <w:top w:val="single" w:sz="4" w:space="0" w:color="auto"/>
              <w:left w:val="single" w:sz="4" w:space="0" w:color="auto"/>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 xml:space="preserve"> 谨慎型（A1）</w:t>
            </w:r>
          </w:p>
        </w:tc>
        <w:tc>
          <w:tcPr>
            <w:tcW w:w="4394" w:type="dxa"/>
            <w:tcBorders>
              <w:top w:val="nil"/>
              <w:left w:val="nil"/>
              <w:bottom w:val="single" w:sz="4" w:space="0" w:color="auto"/>
              <w:right w:val="single" w:sz="4" w:space="0" w:color="auto"/>
            </w:tcBorders>
            <w:hideMark/>
          </w:tcPr>
          <w:p w:rsidR="008E2B02" w:rsidRDefault="008E2B02">
            <w:pPr>
              <w:widowControl/>
              <w:spacing w:line="300" w:lineRule="auto"/>
              <w:jc w:val="left"/>
              <w:rPr>
                <w:rFonts w:ascii="宋体" w:hAnsi="宋体"/>
                <w:kern w:val="0"/>
                <w:sz w:val="22"/>
              </w:rPr>
            </w:pPr>
            <w:r>
              <w:rPr>
                <w:rFonts w:ascii="宋体" w:hAnsi="宋体" w:hint="eastAsia"/>
                <w:kern w:val="0"/>
                <w:sz w:val="22"/>
              </w:rPr>
              <w:t>您属于可以承担低风险而作风谨慎类型的投资者。您适合投资于以保本为主的投资工具，但您因此会牺牲资本升值的机会。</w:t>
            </w:r>
          </w:p>
        </w:tc>
        <w:tc>
          <w:tcPr>
            <w:tcW w:w="3118" w:type="dxa"/>
            <w:tcBorders>
              <w:top w:val="nil"/>
              <w:left w:val="nil"/>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谨慎型（R1）产品</w:t>
            </w:r>
          </w:p>
        </w:tc>
      </w:tr>
      <w:tr w:rsidR="008E2B02" w:rsidTr="008E2B02">
        <w:trPr>
          <w:trHeight w:val="285"/>
        </w:trPr>
        <w:tc>
          <w:tcPr>
            <w:tcW w:w="1101" w:type="dxa"/>
            <w:tcBorders>
              <w:top w:val="single" w:sz="4" w:space="0" w:color="auto"/>
              <w:left w:val="single" w:sz="4" w:space="0" w:color="auto"/>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lastRenderedPageBreak/>
              <w:t xml:space="preserve"> 稳健型（A2）</w:t>
            </w:r>
          </w:p>
        </w:tc>
        <w:tc>
          <w:tcPr>
            <w:tcW w:w="4394" w:type="dxa"/>
            <w:tcBorders>
              <w:top w:val="nil"/>
              <w:left w:val="nil"/>
              <w:bottom w:val="single" w:sz="4" w:space="0" w:color="auto"/>
              <w:right w:val="single" w:sz="4" w:space="0" w:color="auto"/>
            </w:tcBorders>
            <w:hideMark/>
          </w:tcPr>
          <w:p w:rsidR="008E2B02" w:rsidRDefault="008E2B02">
            <w:pPr>
              <w:widowControl/>
              <w:spacing w:line="300" w:lineRule="auto"/>
              <w:jc w:val="left"/>
              <w:rPr>
                <w:rFonts w:ascii="宋体" w:hAnsi="宋体"/>
                <w:kern w:val="0"/>
                <w:sz w:val="22"/>
              </w:rPr>
            </w:pPr>
            <w:r>
              <w:rPr>
                <w:rFonts w:ascii="宋体" w:hAnsi="宋体" w:hint="eastAsia"/>
                <w:kern w:val="0"/>
                <w:sz w:val="22"/>
              </w:rPr>
              <w:t>您属于可以承担较低及以下风险类型的投资者。您适合投资于本金风险相对较小、具有一定升值能力的投资工具。</w:t>
            </w:r>
          </w:p>
        </w:tc>
        <w:tc>
          <w:tcPr>
            <w:tcW w:w="3118" w:type="dxa"/>
            <w:tcBorders>
              <w:top w:val="nil"/>
              <w:left w:val="nil"/>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稳健型（R2）及以下产品</w:t>
            </w:r>
          </w:p>
        </w:tc>
      </w:tr>
      <w:tr w:rsidR="008E2B02" w:rsidTr="008E2B02">
        <w:trPr>
          <w:trHeight w:val="1035"/>
        </w:trPr>
        <w:tc>
          <w:tcPr>
            <w:tcW w:w="1101" w:type="dxa"/>
            <w:tcBorders>
              <w:top w:val="single" w:sz="4" w:space="0" w:color="auto"/>
              <w:left w:val="single" w:sz="4" w:space="0" w:color="auto"/>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 xml:space="preserve"> 平衡型（A3）</w:t>
            </w:r>
          </w:p>
        </w:tc>
        <w:tc>
          <w:tcPr>
            <w:tcW w:w="4394" w:type="dxa"/>
            <w:tcBorders>
              <w:top w:val="nil"/>
              <w:left w:val="nil"/>
              <w:bottom w:val="single" w:sz="4" w:space="0" w:color="auto"/>
              <w:right w:val="single" w:sz="4" w:space="0" w:color="auto"/>
            </w:tcBorders>
            <w:hideMark/>
          </w:tcPr>
          <w:p w:rsidR="008E2B02" w:rsidRDefault="008E2B02">
            <w:pPr>
              <w:widowControl/>
              <w:spacing w:line="300" w:lineRule="auto"/>
              <w:jc w:val="left"/>
              <w:rPr>
                <w:rFonts w:ascii="宋体" w:hAnsi="宋体"/>
                <w:kern w:val="0"/>
                <w:sz w:val="22"/>
              </w:rPr>
            </w:pPr>
            <w:r>
              <w:rPr>
                <w:rFonts w:ascii="宋体" w:hAnsi="宋体" w:hint="eastAsia"/>
                <w:kern w:val="0"/>
                <w:sz w:val="22"/>
              </w:rPr>
              <w:t>您属于可以承担中等及以下风险类型的投资者。您适合投资于能够为您提供温和升值能力而投资价值有温和波动的投资工具。</w:t>
            </w:r>
          </w:p>
        </w:tc>
        <w:tc>
          <w:tcPr>
            <w:tcW w:w="3118" w:type="dxa"/>
            <w:tcBorders>
              <w:top w:val="nil"/>
              <w:left w:val="nil"/>
              <w:bottom w:val="single" w:sz="4" w:space="0" w:color="auto"/>
              <w:right w:val="single" w:sz="4" w:space="0" w:color="auto"/>
            </w:tcBorders>
            <w:hideMark/>
          </w:tcPr>
          <w:p w:rsidR="008E2B02" w:rsidRDefault="008E2B02">
            <w:pPr>
              <w:widowControl/>
              <w:spacing w:line="300" w:lineRule="auto"/>
              <w:jc w:val="center"/>
              <w:rPr>
                <w:rFonts w:ascii="宋体" w:hAnsi="宋体"/>
                <w:b/>
                <w:kern w:val="0"/>
                <w:sz w:val="22"/>
              </w:rPr>
            </w:pPr>
            <w:r>
              <w:rPr>
                <w:rFonts w:ascii="宋体" w:hAnsi="宋体" w:hint="eastAsia"/>
                <w:kern w:val="0"/>
                <w:sz w:val="22"/>
              </w:rPr>
              <w:t>平衡型（R3）及以下产品</w:t>
            </w:r>
          </w:p>
        </w:tc>
      </w:tr>
      <w:tr w:rsidR="008E2B02" w:rsidTr="008E2B02">
        <w:trPr>
          <w:trHeight w:val="984"/>
        </w:trPr>
        <w:tc>
          <w:tcPr>
            <w:tcW w:w="1101" w:type="dxa"/>
            <w:tcBorders>
              <w:top w:val="single" w:sz="4" w:space="0" w:color="auto"/>
              <w:left w:val="single" w:sz="4" w:space="0" w:color="auto"/>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 xml:space="preserve"> 进取型（A4）</w:t>
            </w:r>
          </w:p>
        </w:tc>
        <w:tc>
          <w:tcPr>
            <w:tcW w:w="4394" w:type="dxa"/>
            <w:tcBorders>
              <w:top w:val="nil"/>
              <w:left w:val="nil"/>
              <w:bottom w:val="single" w:sz="4" w:space="0" w:color="auto"/>
              <w:right w:val="single" w:sz="4" w:space="0" w:color="auto"/>
            </w:tcBorders>
            <w:hideMark/>
          </w:tcPr>
          <w:p w:rsidR="008E2B02" w:rsidRDefault="008E2B02">
            <w:pPr>
              <w:widowControl/>
              <w:spacing w:line="300" w:lineRule="auto"/>
              <w:jc w:val="left"/>
              <w:rPr>
                <w:rFonts w:ascii="宋体" w:hAnsi="宋体"/>
                <w:kern w:val="0"/>
                <w:sz w:val="22"/>
              </w:rPr>
            </w:pPr>
            <w:r>
              <w:rPr>
                <w:rFonts w:ascii="宋体" w:hAnsi="宋体" w:hint="eastAsia"/>
                <w:kern w:val="0"/>
                <w:sz w:val="22"/>
              </w:rPr>
              <w:t>您属于可以承担较高及以下风险类型的投资者。您适合投资于能够为您提供升值能力而投资价值有波动的投资工具。</w:t>
            </w:r>
          </w:p>
        </w:tc>
        <w:tc>
          <w:tcPr>
            <w:tcW w:w="3118" w:type="dxa"/>
            <w:tcBorders>
              <w:top w:val="nil"/>
              <w:left w:val="nil"/>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进取型（R4）及以下产品</w:t>
            </w:r>
          </w:p>
        </w:tc>
      </w:tr>
      <w:tr w:rsidR="008E2B02" w:rsidTr="008E2B02">
        <w:trPr>
          <w:trHeight w:val="285"/>
        </w:trPr>
        <w:tc>
          <w:tcPr>
            <w:tcW w:w="1101" w:type="dxa"/>
            <w:tcBorders>
              <w:top w:val="single" w:sz="4" w:space="0" w:color="auto"/>
              <w:left w:val="single" w:sz="4" w:space="0" w:color="auto"/>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 xml:space="preserve"> 激进型（A5）</w:t>
            </w:r>
          </w:p>
        </w:tc>
        <w:tc>
          <w:tcPr>
            <w:tcW w:w="4394" w:type="dxa"/>
            <w:tcBorders>
              <w:top w:val="nil"/>
              <w:left w:val="nil"/>
              <w:bottom w:val="single" w:sz="4" w:space="0" w:color="auto"/>
              <w:right w:val="single" w:sz="4" w:space="0" w:color="auto"/>
            </w:tcBorders>
            <w:hideMark/>
          </w:tcPr>
          <w:p w:rsidR="008E2B02" w:rsidRDefault="008E2B02">
            <w:pPr>
              <w:widowControl/>
              <w:spacing w:line="300" w:lineRule="auto"/>
              <w:jc w:val="left"/>
              <w:rPr>
                <w:rFonts w:ascii="宋体" w:hAnsi="宋体"/>
                <w:kern w:val="0"/>
                <w:sz w:val="22"/>
              </w:rPr>
            </w:pPr>
            <w:r>
              <w:rPr>
                <w:rFonts w:ascii="宋体" w:hAnsi="宋体" w:hint="eastAsia"/>
                <w:kern w:val="0"/>
                <w:sz w:val="22"/>
              </w:rPr>
              <w:t>您属于可以承受高及以下风险类型的投资者。您适合投资于能够为您提供高升值能力而投资价值波动大的投资工具。最坏的情况下，您可能失去全部投资本金并需对您投资所导致的任何亏损承担责任。</w:t>
            </w:r>
          </w:p>
        </w:tc>
        <w:tc>
          <w:tcPr>
            <w:tcW w:w="3118" w:type="dxa"/>
            <w:tcBorders>
              <w:top w:val="nil"/>
              <w:left w:val="nil"/>
              <w:bottom w:val="single" w:sz="4" w:space="0" w:color="auto"/>
              <w:right w:val="single" w:sz="4" w:space="0" w:color="auto"/>
            </w:tcBorders>
            <w:hideMark/>
          </w:tcPr>
          <w:p w:rsidR="008E2B02" w:rsidRDefault="008E2B02">
            <w:pPr>
              <w:widowControl/>
              <w:spacing w:line="300" w:lineRule="auto"/>
              <w:jc w:val="center"/>
              <w:rPr>
                <w:rFonts w:ascii="宋体" w:hAnsi="宋体"/>
                <w:kern w:val="0"/>
                <w:sz w:val="22"/>
              </w:rPr>
            </w:pPr>
            <w:r>
              <w:rPr>
                <w:rFonts w:ascii="宋体" w:hAnsi="宋体" w:hint="eastAsia"/>
                <w:kern w:val="0"/>
                <w:sz w:val="22"/>
              </w:rPr>
              <w:t>激进型（R5）及以下产品</w:t>
            </w:r>
          </w:p>
        </w:tc>
      </w:tr>
    </w:tbl>
    <w:p w:rsidR="008E2B02" w:rsidRDefault="008E2B02" w:rsidP="008E2B02">
      <w:pPr>
        <w:spacing w:line="300" w:lineRule="auto"/>
        <w:rPr>
          <w:rFonts w:ascii="宋体" w:hAnsi="宋体"/>
          <w:sz w:val="22"/>
        </w:rPr>
      </w:pPr>
    </w:p>
    <w:p w:rsidR="008E2B02" w:rsidRDefault="008E2B02" w:rsidP="008E2B02">
      <w:pPr>
        <w:spacing w:line="300" w:lineRule="auto"/>
        <w:ind w:firstLineChars="200" w:firstLine="440"/>
        <w:rPr>
          <w:rFonts w:ascii="宋体" w:hAnsi="宋体"/>
          <w:sz w:val="22"/>
        </w:rPr>
      </w:pPr>
      <w:r>
        <w:rPr>
          <w:rFonts w:ascii="宋体" w:hAnsi="宋体" w:hint="eastAsia"/>
          <w:sz w:val="22"/>
        </w:rPr>
        <w:t>为了准确地了解和评估您的投资需求，请您在</w:t>
      </w:r>
      <w:r>
        <w:rPr>
          <w:rFonts w:ascii="宋体" w:hAnsi="宋体" w:hint="eastAsia"/>
          <w:b/>
          <w:sz w:val="22"/>
        </w:rPr>
        <w:t>首次</w:t>
      </w:r>
      <w:r>
        <w:rPr>
          <w:rFonts w:ascii="宋体" w:hAnsi="宋体" w:hint="eastAsia"/>
          <w:sz w:val="22"/>
        </w:rPr>
        <w:t>购买银行理财产品前，到我行营业网点进行有效风险承受能力的评估。</w:t>
      </w:r>
    </w:p>
    <w:p w:rsidR="008E2B02" w:rsidRDefault="008E2B02" w:rsidP="008E2B02">
      <w:pPr>
        <w:spacing w:line="300" w:lineRule="auto"/>
        <w:ind w:firstLineChars="200" w:firstLine="440"/>
        <w:rPr>
          <w:rFonts w:ascii="宋体" w:hAnsi="宋体"/>
          <w:sz w:val="22"/>
        </w:rPr>
      </w:pPr>
      <w:r>
        <w:rPr>
          <w:rFonts w:ascii="宋体" w:hAnsi="宋体" w:hint="eastAsia"/>
          <w:sz w:val="22"/>
        </w:rPr>
        <w:t>客户评估流程：</w:t>
      </w:r>
    </w:p>
    <w:p w:rsidR="008E2B02" w:rsidRDefault="00962CEB" w:rsidP="008E2B02">
      <w:pPr>
        <w:spacing w:line="300" w:lineRule="auto"/>
        <w:rPr>
          <w:rFonts w:ascii="宋体" w:hAnsi="宋体"/>
          <w:sz w:val="22"/>
        </w:rPr>
      </w:pPr>
      <w:r>
        <w:rPr>
          <w:rFonts w:ascii="宋体" w:hAnsi="宋体"/>
          <w:noProof/>
          <w:sz w:val="22"/>
        </w:rPr>
      </w:r>
      <w:r>
        <w:rPr>
          <w:rFonts w:ascii="宋体" w:hAnsi="宋体"/>
          <w:noProof/>
          <w:sz w:val="22"/>
        </w:rPr>
        <w:pict>
          <v:group id="Group 44" o:spid="_x0000_s1096" style="width:436.1pt;height:62.35pt;mso-position-horizontal-relative:char;mso-position-vertical-relative:line" coordorigin="1926,5517" coordsize="8116,115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97" type="#_x0000_t176" style="position:absolute;left:3966;top:5520;width:1395;height:11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XIHRwwAA&#10;ANwAAAAPAAAAZHJzL2Rvd25yZXYueG1sRE/basJAEH0v9B+WKfhWN4YgNnUNqaCIBcW0HzDNTpPQ&#10;7GzIrjH+fVcQfJvDuc4yG00rBupdY1nBbBqBIC6tbrhS8P21eV2AcB5ZY2uZFFzJQbZ6flpiqu2F&#10;TzQUvhIhhF2KCmrvu1RKV9Zk0E1tRxy4X9sb9AH2ldQ9XkK4aWUcRXNpsOHQUGNH65rKv+JsFBw/&#10;mt3b+ZAMybay8T4//sTF+lOpycuYv4PwNPqH+O7e6TB/lsDtmXCB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XIHRwwAAANwAAAAPAAAAAAAAAAAAAAAAAJcCAABkcnMvZG93&#10;bnJldi54bWxQSwUGAAAAAAQABAD1AAAAhwMAAAAA&#10;" fillcolor="#fbd4b4">
              <v:fill opacity="46003f"/>
              <v:textbox>
                <w:txbxContent>
                  <w:p w:rsidR="008E2B02" w:rsidRDefault="008E2B02" w:rsidP="008E2B02">
                    <w:pPr>
                      <w:spacing w:line="240" w:lineRule="atLeast"/>
                      <w:rPr>
                        <w:sz w:val="18"/>
                        <w:szCs w:val="18"/>
                      </w:rPr>
                    </w:pPr>
                    <w:r>
                      <w:rPr>
                        <w:rFonts w:hint="eastAsia"/>
                        <w:sz w:val="18"/>
                        <w:szCs w:val="18"/>
                      </w:rPr>
                      <w:t>填写《个人投资风险承受能力评估表》</w:t>
                    </w:r>
                  </w:p>
                </w:txbxContent>
              </v:textbox>
            </v:shape>
            <v:shape id="AutoShape 46" o:spid="_x0000_s1098" type="#_x0000_t176" style="position:absolute;left:6006;top:5517;width:2340;height:1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CRKwwAA&#10;ANwAAAAPAAAAZHJzL2Rvd25yZXYueG1sRE/basJAEH0v+A/LFPqmG4MVja6iQotUUIx+wJgdk9Ds&#10;bMiuMf69WxD6NodznfmyM5VoqXGlZQXDQQSCOLO65FzB+fTVn4BwHlljZZkUPMjBctF7m2Oi7Z2P&#10;1KY+FyGEXYIKCu/rREqXFWTQDWxNHLirbQz6AJtc6gbvIdxUMo6isTRYcmgosKZNQdlvejMKDuty&#10;O73tR+3oO7fxz+pwidPNTqmP9241A+Gp8//il3urw/zhJ/w9Ey6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ECRKwwAAANwAAAAPAAAAAAAAAAAAAAAAAJcCAABkcnMvZG93&#10;bnJldi54bWxQSwUGAAAAAAQABAD1AAAAhwMAAAAA&#10;" fillcolor="#fbd4b4">
              <v:fill opacity="46003f"/>
              <v:textbox>
                <w:txbxContent>
                  <w:p w:rsidR="008E2B02" w:rsidRDefault="008E2B02" w:rsidP="008E2B02">
                    <w:pPr>
                      <w:spacing w:line="240" w:lineRule="atLeast"/>
                      <w:rPr>
                        <w:sz w:val="18"/>
                        <w:szCs w:val="18"/>
                      </w:rPr>
                    </w:pPr>
                    <w:r>
                      <w:rPr>
                        <w:rFonts w:hint="eastAsia"/>
                        <w:sz w:val="18"/>
                        <w:szCs w:val="18"/>
                      </w:rPr>
                      <w:t>由我行工作人员录入系统后自动生成相应的客户风险等级评级结果</w:t>
                    </w:r>
                  </w:p>
                </w:txbxContent>
              </v:textbox>
            </v:shape>
            <v:shape id="AutoShape 47" o:spid="_x0000_s1099" type="#_x0000_t176" style="position:absolute;left:8960;top:5670;width:1082;height:7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ro9xAAA&#10;ANwAAAAPAAAAZHJzL2Rvd25yZXYueG1sRE/basJAEH0X+g/LFPqmG0MIbXQVK7QEhUrTfsCYnSah&#10;2dmQXZP4926h4NscznXW28m0YqDeNZYVLBcRCOLS6oYrBd9fb/NnEM4ja2wtk4IrOdhuHmZrzLQd&#10;+ZOGwlcihLDLUEHtfZdJ6cqaDLqF7YgD92N7gz7AvpK6xzGEm1bGUZRKgw2Hhho72tdU/hYXo+D0&#10;2uQvl49kSN4rGx92p3Nc7I9KPT1OuxUIT5O/i//duQ7zlyn8PRMukJs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8K6PcQAAADcAAAADwAAAAAAAAAAAAAAAACXAgAAZHJzL2Rv&#10;d25yZXYueG1sUEsFBgAAAAAEAAQA9QAAAIgDAAAAAA==&#10;" fillcolor="#fbd4b4">
              <v:fill opacity="46003f"/>
              <v:textbox>
                <w:txbxContent>
                  <w:p w:rsidR="008E2B02" w:rsidRDefault="008E2B02" w:rsidP="008E2B02">
                    <w:pPr>
                      <w:spacing w:line="240" w:lineRule="atLeast"/>
                      <w:rPr>
                        <w:sz w:val="18"/>
                        <w:szCs w:val="18"/>
                      </w:rPr>
                    </w:pPr>
                    <w:r>
                      <w:rPr>
                        <w:rFonts w:hint="eastAsia"/>
                        <w:sz w:val="18"/>
                        <w:szCs w:val="18"/>
                      </w:rPr>
                      <w:t>签名确认评估结果</w:t>
                    </w:r>
                  </w:p>
                </w:txbxContent>
              </v:textbox>
            </v:shape>
            <v:shapetype id="_x0000_t32" coordsize="21600,21600" o:spt="32" o:oned="t" path="m,l21600,21600e" filled="f">
              <v:path arrowok="t" fillok="f" o:connecttype="none"/>
              <o:lock v:ext="edit" shapetype="t"/>
            </v:shapetype>
            <v:shape id="AutoShape 48" o:spid="_x0000_s1100" type="#_x0000_t32" style="position:absolute;left:8346;top:5954;width:614;height:3;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J5rfsEAAADcAAAADwAAAGRycy9kb3ducmV2LnhtbERP32vCMBB+F/Y/hBv4pmkH6uiMZRME&#10;8UXmBtvj0ZxtsLmUJmvqf2+EgW/38f28dTnaVgzUe+NYQT7PQBBXThuuFXx/7WavIHxA1tg6JgVX&#10;8lBuniZrLLSL/EnDKdQihbAvUEETQldI6auGLPq564gTd3a9xZBgX0vdY0zhtpUvWbaUFg2nhgY7&#10;2jZUXU5/VoGJRzN0+238OPz8eh3JXBfOKDV9Ht/fQAQaw0P8797rND9fwf2ZdIHc3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nmt+wQAAANwAAAAPAAAAAAAAAAAAAAAA&#10;AKECAABkcnMvZG93bnJldi54bWxQSwUGAAAAAAQABAD5AAAAjwMAAAAA&#10;">
              <v:stroke endarrow="block"/>
            </v:shape>
            <v:shape id="AutoShape 49" o:spid="_x0000_s1101" type="#_x0000_t32" style="position:absolute;left:3336;top:5948;width:630;height:3;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H/DMMAAADcAAAADwAAAGRycy9kb3ducmV2LnhtbESPQWsCMRCF7wX/QxjBW80qWGQ1SisI&#10;0kupFupx2Ex3QzeTZZNu1n/fOQjeZnhv3vtmux99qwbqowtsYDEvQBFXwTquDXxdjs9rUDEhW2wD&#10;k4EbRdjvJk9bLG3I/EnDOdVKQjiWaKBJqSu1jlVDHuM8dMSi/YTeY5K1r7XtMUu4b/WyKF60R8fS&#10;0GBHh4aq3/OfN+Dyhxu60yG/vX9fo83kbqvgjJlNx9cNqERjepjv1ycr+AuhlWdkAr37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0B/wzDAAAA3AAAAA8AAAAAAAAAAAAA&#10;AAAAoQIAAGRycy9kb3ducmV2LnhtbFBLBQYAAAAABAAEAPkAAACRAwAAAAA=&#10;">
              <v:stroke endarrow="block"/>
            </v:shape>
            <v:shape id="AutoShape 50" o:spid="_x0000_s1102" type="#_x0000_t32" style="position:absolute;left:5361;top:5957;width:645;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jXBHUxAAAANwAAAAPAAAAAAAAAAAA&#10;AAAAAKECAABkcnMvZG93bnJldi54bWxQSwUGAAAAAAQABAD5AAAAkgMAAAAA&#10;">
              <v:stroke endarrow="block"/>
            </v:shape>
            <v:shape id="AutoShape 51" o:spid="_x0000_s1103" type="#_x0000_t176" style="position:absolute;left:1926;top:5765;width:1410;height:44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01vxQAA&#10;ANwAAAAPAAAAZHJzL2Rvd25yZXYueG1sRI/RasJAEEXfhf7DMkLfdGMQsamrWKFFFJRGP2CanSah&#10;2dmQXWP6985DoW8z3Dv3nlltBteonrpQezYwmyagiAtvay4NXC/vkyWoEJEtNp7JwC8F2KyfRivM&#10;rL/zJ/V5LJWEcMjQQBVjm2kdioochqlviUX79p3DKGtXatvhXcJdo9MkWWiHNUtDhS3tKip+8psz&#10;cH6r9y+307yff5Q+PWzPX2m+OxrzPB62r6AiDfHf/He9t4KfCr48IxPo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ELTW/FAAAA3A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客户风险评估</w:t>
                    </w:r>
                  </w:p>
                </w:txbxContent>
              </v:textbox>
            </v:shape>
            <w10:anchorlock/>
          </v:group>
        </w:pict>
      </w:r>
    </w:p>
    <w:p w:rsidR="008E2B02" w:rsidRDefault="008E2B02" w:rsidP="008E2B02">
      <w:pPr>
        <w:spacing w:line="300" w:lineRule="auto"/>
        <w:rPr>
          <w:rFonts w:ascii="宋体" w:hAnsi="宋体"/>
          <w:sz w:val="22"/>
        </w:rPr>
      </w:pPr>
    </w:p>
    <w:p w:rsidR="008E2B02" w:rsidRDefault="008E2B02" w:rsidP="008E2B02">
      <w:pPr>
        <w:spacing w:line="300" w:lineRule="auto"/>
        <w:ind w:firstLineChars="200" w:firstLine="440"/>
        <w:rPr>
          <w:rFonts w:ascii="宋体" w:hAnsi="宋体"/>
          <w:sz w:val="22"/>
        </w:rPr>
      </w:pPr>
      <w:r>
        <w:rPr>
          <w:rFonts w:ascii="宋体" w:hAnsi="宋体" w:hint="eastAsia"/>
          <w:sz w:val="22"/>
        </w:rPr>
        <w:t>为了及时更新您的财务状况，明确您的投资目标，评估结果的有效期为一年期，若您的风险承受能力评估结果已过有效期或者在评级结果有效期内发生了可能影响您自身风险承受能力的情形，请您在再次购买理财产品前，通过我行柜面或网上银行方式重新进行风险承受能力评估。</w:t>
      </w:r>
    </w:p>
    <w:p w:rsidR="008E2B02" w:rsidRDefault="008E2B02" w:rsidP="008E2B02">
      <w:pPr>
        <w:spacing w:line="300" w:lineRule="auto"/>
        <w:ind w:firstLineChars="200" w:firstLine="442"/>
        <w:rPr>
          <w:rFonts w:ascii="宋体" w:hAnsi="宋体"/>
          <w:b/>
          <w:sz w:val="22"/>
        </w:rPr>
      </w:pPr>
    </w:p>
    <w:p w:rsidR="008E2B02" w:rsidRDefault="008E2B02" w:rsidP="008E2B02">
      <w:pPr>
        <w:spacing w:line="300" w:lineRule="auto"/>
        <w:ind w:firstLineChars="200" w:firstLine="442"/>
        <w:rPr>
          <w:rFonts w:ascii="宋体" w:hAnsi="宋体"/>
          <w:b/>
          <w:sz w:val="22"/>
        </w:rPr>
      </w:pPr>
      <w:r>
        <w:rPr>
          <w:rFonts w:ascii="宋体" w:hAnsi="宋体" w:hint="eastAsia"/>
          <w:b/>
          <w:sz w:val="22"/>
        </w:rPr>
        <w:t>第二部 购买您选择的理财产品</w:t>
      </w:r>
    </w:p>
    <w:p w:rsidR="008E2B02" w:rsidRDefault="008E2B02" w:rsidP="008E2B02">
      <w:pPr>
        <w:spacing w:line="300" w:lineRule="auto"/>
        <w:ind w:firstLineChars="200" w:firstLine="440"/>
        <w:rPr>
          <w:rFonts w:ascii="宋体" w:hAnsi="宋体"/>
          <w:sz w:val="22"/>
        </w:rPr>
      </w:pPr>
      <w:r>
        <w:rPr>
          <w:rFonts w:ascii="宋体" w:hAnsi="宋体" w:hint="eastAsia"/>
          <w:sz w:val="22"/>
        </w:rPr>
        <w:t>您在完成风险承受能力评估后，选择适合您风险承受能力的我行银行理财产品，可通过我行营业网点、网上银行、电话银行、手机银行方式进行购买。具体认购流程如下：</w:t>
      </w:r>
    </w:p>
    <w:p w:rsidR="008E2B02" w:rsidRDefault="008E2B02" w:rsidP="008E2B02">
      <w:pPr>
        <w:pStyle w:val="aa"/>
        <w:numPr>
          <w:ilvl w:val="0"/>
          <w:numId w:val="5"/>
        </w:numPr>
        <w:adjustRightInd w:val="0"/>
        <w:snapToGrid w:val="0"/>
        <w:spacing w:line="300" w:lineRule="auto"/>
        <w:ind w:firstLineChars="0"/>
        <w:rPr>
          <w:rFonts w:ascii="宋体" w:hAnsi="宋体"/>
          <w:sz w:val="18"/>
          <w:szCs w:val="18"/>
        </w:rPr>
      </w:pPr>
      <w:r>
        <w:rPr>
          <w:rFonts w:ascii="宋体" w:hAnsi="宋体" w:hint="eastAsia"/>
          <w:kern w:val="0"/>
          <w:sz w:val="22"/>
        </w:rPr>
        <w:t>营业网点</w:t>
      </w:r>
    </w:p>
    <w:p w:rsidR="008E2B02" w:rsidRDefault="00962CEB" w:rsidP="008E2B02">
      <w:pPr>
        <w:adjustRightInd w:val="0"/>
        <w:snapToGrid w:val="0"/>
        <w:spacing w:line="300" w:lineRule="auto"/>
        <w:rPr>
          <w:rFonts w:ascii="宋体" w:hAnsi="宋体"/>
          <w:sz w:val="22"/>
        </w:rPr>
      </w:pPr>
      <w:r>
        <w:rPr>
          <w:rFonts w:ascii="宋体" w:hAnsi="宋体"/>
          <w:noProof/>
          <w:sz w:val="22"/>
        </w:rPr>
      </w:r>
      <w:r>
        <w:rPr>
          <w:rFonts w:ascii="宋体" w:hAnsi="宋体"/>
          <w:noProof/>
          <w:sz w:val="22"/>
        </w:rPr>
        <w:pict>
          <v:group id="Group 26" o:spid="_x0000_s1078" style="width:429.45pt;height:117.2pt;mso-position-horizontal-relative:char;mso-position-vertical-relative:line" coordorigin="2233,2659" coordsize="6992,2206">
            <v:shape id="AutoShape 27" o:spid="_x0000_s1079" type="#_x0000_t176" style="position:absolute;left:7470;top:4125;width:1755;height:7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hWXwwAA&#10;ANsAAAAPAAAAZHJzL2Rvd25yZXYueG1sRI/RisIwFETfF/yHcAXf1tQiol2jqKCIC4p1P+Buc7ct&#10;NjelibX+/UYQfBxm5gwzX3amEi01rrSsYDSMQBBnVpecK/i5bD+nIJxH1lhZJgUPcrBc9D7mmGh7&#10;5zO1qc9FgLBLUEHhfZ1I6bKCDLqhrYmD92cbgz7IJpe6wXuAm0rGUTSRBksOCwXWtCkou6Y3o+C0&#10;Lvez23Hcjne5jQ+r02+cbr6VGvS71RcIT51/h1/tvVYwm8D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ChWXwwAAANsAAAAPAAAAAAAAAAAAAAAAAJcCAABkcnMvZG93&#10;bnJldi54bWxQSwUGAAAAAAQABAD1AAAAhwMAAAAA&#10;" fillcolor="#fbd4b4">
              <v:fill opacity="46003f"/>
              <v:textbox>
                <w:txbxContent>
                  <w:p w:rsidR="008E2B02" w:rsidRDefault="008E2B02" w:rsidP="008E2B02">
                    <w:pPr>
                      <w:spacing w:line="240" w:lineRule="atLeast"/>
                      <w:rPr>
                        <w:sz w:val="18"/>
                        <w:szCs w:val="18"/>
                      </w:rPr>
                    </w:pPr>
                    <w:r>
                      <w:rPr>
                        <w:rFonts w:hint="eastAsia"/>
                        <w:sz w:val="18"/>
                        <w:szCs w:val="18"/>
                      </w:rPr>
                      <w:t>阅读并签署《理财产品销售协议书》</w:t>
                    </w:r>
                  </w:p>
                </w:txbxContent>
              </v:textbox>
            </v:shape>
            <v:shape id="AutoShape 28" o:spid="_x0000_s1080" type="#_x0000_t176" style="position:absolute;left:2233;top:4215;width:1680;height:4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RrAMxAAA&#10;ANsAAAAPAAAAZHJzL2Rvd25yZXYueG1sRI/RasJAFETfC/2H5Qp9041Bao2uYoUWUVAa/YBr9poE&#10;s3dDdo3x711B6OMwM2eY2aIzlWipcaVlBcNBBII4s7rkXMHx8NP/AuE8ssbKMim4k4PF/P1thom2&#10;N/6jNvW5CBB2CSoovK8TKV1WkEE3sDVx8M62MeiDbHKpG7wFuKlkHEWf0mDJYaHAmlYFZZf0ahTs&#10;v8v15LobtaPf3Mab5f4Up6utUh+9bjkF4anz/+FXe60VTMb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wDMQAAADbAAAADwAAAAAAAAAAAAAAAACXAgAAZHJzL2Rv&#10;d25yZXYueG1sUEsFBgAAAAAEAAQA9QAAAIgDAAAAAA==&#10;" fillcolor="#fbd4b4">
              <v:fill opacity="46003f"/>
              <v:textbox>
                <w:txbxContent>
                  <w:p w:rsidR="008E2B02" w:rsidRDefault="008E2B02" w:rsidP="008E2B02">
                    <w:pPr>
                      <w:spacing w:line="240" w:lineRule="atLeast"/>
                      <w:rPr>
                        <w:sz w:val="18"/>
                        <w:szCs w:val="18"/>
                      </w:rPr>
                    </w:pPr>
                    <w:r>
                      <w:rPr>
                        <w:rFonts w:hint="eastAsia"/>
                        <w:sz w:val="18"/>
                        <w:szCs w:val="18"/>
                      </w:rPr>
                      <w:t>《客户权益须知》</w:t>
                    </w:r>
                  </w:p>
                </w:txbxContent>
              </v:textbox>
            </v:shape>
            <v:shape id="AutoShape 29" o:spid="_x0000_s1081" type="#_x0000_t176" style="position:absolute;left:4046;top:4225;width:1500;height:45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2SR+wQAA&#10;ANsAAAAPAAAAZHJzL2Rvd25yZXYueG1sRE/NisIwEL4L+w5hFrxpukVEq1FcQREFi919gLGZbcs2&#10;k9LEWt/eHASPH9//ct2bWnTUusqygq9xBII4t7riQsHvz240A+E8ssbaMil4kIP16mOwxETbO1+o&#10;y3whQgi7BBWU3jeJlC4vyaAb24Y4cH+2NegDbAupW7yHcFPLOIqm0mDFoaHEhrYl5f/ZzShIv6vD&#10;/HaedJN9YePjJr3G2fak1PCz3yxAeOr9W/xyH7SCeRgbvoQfIF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NkkfsEAAADbAAAADwAAAAAAAAAAAAAAAACXAgAAZHJzL2Rvd25y&#10;ZXYueG1sUEsFBgAAAAAEAAQA9QAAAIUDAAAAAA==&#10;" fillcolor="#fbd4b4">
              <v:fill opacity="46003f"/>
              <v:textbox>
                <w:txbxContent>
                  <w:p w:rsidR="008E2B02" w:rsidRDefault="008E2B02" w:rsidP="008E2B02">
                    <w:pPr>
                      <w:spacing w:line="240" w:lineRule="atLeast"/>
                      <w:rPr>
                        <w:sz w:val="18"/>
                        <w:szCs w:val="18"/>
                      </w:rPr>
                    </w:pPr>
                    <w:r>
                      <w:rPr>
                        <w:rFonts w:hint="eastAsia"/>
                        <w:sz w:val="18"/>
                        <w:szCs w:val="18"/>
                      </w:rPr>
                      <w:t>《产品说明书》</w:t>
                    </w:r>
                  </w:p>
                </w:txbxContent>
              </v:textbox>
            </v:shape>
            <v:shape id="AutoShape 30" o:spid="_x0000_s1082" type="#_x0000_t176" style="position:absolute;left:5728;top:4125;width:1577;height:74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lYHlxAAA&#10;ANsAAAAPAAAAZHJzL2Rvd25yZXYueG1sRI/RasJAFETfhf7Dcgu+mU2DSBNdxQqKWKg07Qdcs9ck&#10;mL0bsmuMf98VhD4OM3OGWawG04ieOldbVvAWxSCIC6trLhX8/mwn7yCcR9bYWCYFd3KwWr6MFphp&#10;e+Nv6nNfigBhl6GCyvs2k9IVFRl0kW2Jg3e2nUEfZFdK3eEtwE0jkzieSYM1h4UKW9pUVFzyq1Fw&#10;/Kj36fVr2k93pU0O6+MpyTefSo1fh/UchKfB/4ef7b1WkKbw+BJ+gFz+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5WB5cQAAADbAAAADwAAAAAAAAAAAAAAAACXAgAAZHJzL2Rv&#10;d25yZXYueG1sUEsFBgAAAAAEAAQA9QAAAIgDAAAAAA==&#10;" fillcolor="#fbd4b4">
              <v:fill opacity="46003f"/>
              <v:textbox>
                <w:txbxContent>
                  <w:p w:rsidR="008E2B02" w:rsidRDefault="008E2B02" w:rsidP="008E2B02">
                    <w:pPr>
                      <w:spacing w:line="240" w:lineRule="atLeast"/>
                      <w:ind w:firstLineChars="100" w:firstLine="180"/>
                      <w:rPr>
                        <w:sz w:val="18"/>
                        <w:szCs w:val="18"/>
                      </w:rPr>
                    </w:pPr>
                    <w:r>
                      <w:rPr>
                        <w:rFonts w:hint="eastAsia"/>
                        <w:sz w:val="18"/>
                        <w:szCs w:val="18"/>
                      </w:rPr>
                      <w:t>阅读并签署</w:t>
                    </w:r>
                  </w:p>
                  <w:p w:rsidR="008E2B02" w:rsidRDefault="008E2B02" w:rsidP="008E2B02">
                    <w:pPr>
                      <w:spacing w:line="240" w:lineRule="atLeast"/>
                      <w:rPr>
                        <w:sz w:val="18"/>
                        <w:szCs w:val="18"/>
                      </w:rPr>
                    </w:pPr>
                    <w:r>
                      <w:rPr>
                        <w:rFonts w:hint="eastAsia"/>
                        <w:sz w:val="18"/>
                        <w:szCs w:val="18"/>
                      </w:rPr>
                      <w:t>《风险揭示书》</w:t>
                    </w:r>
                  </w:p>
                </w:txbxContent>
              </v:textbox>
            </v:shape>
            <v:shape id="AutoShape 31" o:spid="_x0000_s1083" type="#_x0000_t176" style="position:absolute;left:5284;top:2659;width:1665;height:7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vhEPxQAA&#10;ANwAAAAPAAAAZHJzL2Rvd25yZXYueG1sRI/RasJAEEXfC/7DMoJvdWOQ0qauooIiLVQa/YBpdpqE&#10;ZmdDdo3x7zsPgm8z3Dv3nlmsBteonrpQezYwmyagiAtvay4NnE+751dQISJbbDyTgRsFWC1HTwvM&#10;rL/yN/V5LJWEcMjQQBVjm2kdioochqlviUX79Z3DKGtXatvhVcJdo9MkedEOa5aGClvaVlT85Rdn&#10;4LipD2+Xr3k/35c+/Vgff9J8+2nMZDys30FFGuLDfL8+WMFPBF+ekQn08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q+EQ/FAAAA3AAAAA8AAAAAAAAAAAAAAAAAlwIAAGRycy9k&#10;b3ducmV2LnhtbFBLBQYAAAAABAAEAPUAAACJAwAAAAA=&#10;" fillcolor="#fbd4b4">
              <v:fill opacity="46003f"/>
              <v:textbox>
                <w:txbxContent>
                  <w:p w:rsidR="008E2B02" w:rsidRDefault="008E2B02" w:rsidP="008E2B02">
                    <w:pPr>
                      <w:spacing w:line="240" w:lineRule="atLeast"/>
                      <w:ind w:left="90" w:hangingChars="50" w:hanging="90"/>
                      <w:rPr>
                        <w:sz w:val="18"/>
                        <w:szCs w:val="18"/>
                      </w:rPr>
                    </w:pPr>
                    <w:r>
                      <w:rPr>
                        <w:rFonts w:hint="eastAsia"/>
                        <w:sz w:val="18"/>
                        <w:szCs w:val="18"/>
                      </w:rPr>
                      <w:t>交我行工作人员进行购买操作</w:t>
                    </w:r>
                  </w:p>
                </w:txbxContent>
              </v:textbox>
            </v:shape>
            <v:shape id="AutoShape 32" o:spid="_x0000_s1084" type="#_x0000_t176" style="position:absolute;left:7382;top:2784;width:1843;height:4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8rSUwgAA&#10;ANwAAAAPAAAAZHJzL2Rvd25yZXYueG1sRE/bisIwEH0X9h/CCPumqUXErUZxBUVcUOz6AWMztsVm&#10;UppYu3+/EQTf5nCuM192phItNa60rGA0jEAQZ1aXnCs4/24GUxDOI2usLJOCP3KwXHz05pho++AT&#10;tanPRQhhl6CCwvs6kdJlBRl0Q1sTB+5qG4M+wCaXusFHCDeVjKNoIg2WHBoKrGldUHZL70bB8bvc&#10;fd0P43a8zW28Xx0vcbr+Ueqz361mIDx1/i1+uXc6zI9G8HwmXCA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XytJTCAAAA3AAAAA8AAAAAAAAAAAAAAAAAlwIAAGRycy9kb3du&#10;cmV2LnhtbFBLBQYAAAAABAAEAPUAAACGAwAAAAA=&#10;" fillcolor="#fbd4b4">
              <v:fill opacity="46003f"/>
              <v:textbox>
                <w:txbxContent>
                  <w:p w:rsidR="008E2B02" w:rsidRDefault="008E2B02" w:rsidP="008E2B02">
                    <w:pPr>
                      <w:spacing w:line="240" w:lineRule="atLeast"/>
                      <w:rPr>
                        <w:sz w:val="18"/>
                        <w:szCs w:val="18"/>
                      </w:rPr>
                    </w:pPr>
                    <w:r>
                      <w:rPr>
                        <w:rFonts w:hint="eastAsia"/>
                        <w:sz w:val="18"/>
                        <w:szCs w:val="18"/>
                      </w:rPr>
                      <w:t>理财产品购买成功</w:t>
                    </w:r>
                  </w:p>
                </w:txbxContent>
              </v:textbox>
            </v:shape>
            <v:shape id="AutoShape 33" o:spid="_x0000_s1085" type="#_x0000_t176" style="position:absolute;left:2233;top:2684;width:1082;height:7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ICrjwwAA&#10;ANwAAAAPAAAAZHJzL2Rvd25yZXYueG1sRE/basJAEH0v+A/LCH1rNgYpNWYVFVpChYppP2DMTpPQ&#10;7GzIrkn6926h4NscznWy7WRaMVDvGssKFlEMgri0uuFKwdfn69MLCOeRNbaWScEvOdhuZg8ZptqO&#10;fKah8JUIIexSVFB736VSurImgy6yHXHgvm1v0AfYV1L3OIZw08okjp+lwYZDQ40dHWoqf4qrUXDa&#10;N/nq+rEclm+VTd53p0tSHI5KPc6n3RqEp8nfxf/uXIf5cQJ/z4QL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ICrjwwAAANwAAAAPAAAAAAAAAAAAAAAAAJcCAABkcnMvZG93&#10;bnJldi54bWxQSwUGAAAAAAQABAD1AAAAhwMAAAAA&#10;" fillcolor="#fbd4b4">
              <v:fill opacity="46003f"/>
              <v:textbox>
                <w:txbxContent>
                  <w:p w:rsidR="008E2B02" w:rsidRDefault="008E2B02" w:rsidP="008E2B02">
                    <w:pPr>
                      <w:spacing w:line="240" w:lineRule="atLeast"/>
                      <w:ind w:left="180" w:hangingChars="100" w:hanging="180"/>
                      <w:rPr>
                        <w:sz w:val="18"/>
                        <w:szCs w:val="18"/>
                      </w:rPr>
                    </w:pPr>
                    <w:r>
                      <w:rPr>
                        <w:rFonts w:hint="eastAsia"/>
                        <w:sz w:val="18"/>
                        <w:szCs w:val="18"/>
                      </w:rPr>
                      <w:t>理财产品购买</w:t>
                    </w:r>
                  </w:p>
                </w:txbxContent>
              </v:textbox>
            </v:shape>
            <v:shape id="AutoShape 34" o:spid="_x0000_s1086" type="#_x0000_t32" style="position:absolute;left:3315;top:3044;width:397;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bbDjxAAAANwAAAAPAAAAAAAAAAAA&#10;AAAAAKECAABkcnMvZG93bnJldi54bWxQSwUGAAAAAAQABAD5AAAAkgMAAAAA&#10;">
              <v:stroke endarrow="block"/>
            </v:shape>
            <v:shape id="AutoShape 35" o:spid="_x0000_s1087" type="#_x0000_t32" style="position:absolute;left:4890;top:3044;width:397;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IhCiXxAAAANwAAAAPAAAAAAAAAAAA&#10;AAAAAKECAABkcnMvZG93bnJldi54bWxQSwUGAAAAAAQABAD5AAAAkgMAAAAA&#10;">
              <v:stroke endarrow="block"/>
            </v:shape>
            <v:shape id="AutoShape 36" o:spid="_x0000_s1088" type="#_x0000_t32" style="position:absolute;left:6979;top:3044;width:397;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8iNDMQAAADcAAAADwAAAGRycy9kb3ducmV2LnhtbERPTWvCQBC9F/oflin0VjcRWjS6hlKw&#10;FEsPGgl6G7JjEszOht1VY399tyB4m8f7nHk+mE6cyfnWsoJ0lIAgrqxuuVawLZYvExA+IGvsLJOC&#10;K3nIF48Pc8y0vfCazptQixjCPkMFTQh9JqWvGjLoR7YnjtzBOoMhQldL7fASw00nx0nyJg22HBsa&#10;7Omjoeq4ORkFu+/pqbyWP7Qq0+lqj8743+JTqeen4X0GItAQ7uKb+0vH+ckr/D8TL5CL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yI0MxAAAANwAAAAPAAAAAAAAAAAA&#10;AAAAAKECAABkcnMvZG93bnJldi54bWxQSwUGAAAAAAQABAD5AAAAkgMAAAAA&#10;">
              <v:stroke endarrow="block"/>
            </v:shape>
            <v:shape id="AutoShape 37" o:spid="_x0000_s1089" type="#_x0000_t32" style="position:absolute;left:3090;top:3759;width:1;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GhN7xAAAANwAAAAPAAAAAAAAAAAA&#10;AAAAAKECAABkcnMvZG93bnJldi54bWxQSwUGAAAAAAQABAD5AAAAkgMAAAAA&#10;">
              <v:stroke endarrow="block"/>
            </v:shape>
            <v:shape id="AutoShape 38" o:spid="_x0000_s1090" type="#_x0000_t32" style="position:absolute;left:4753;top:3759;width:1;height:45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VrbgxAAAANwAAAAPAAAAAAAAAAAA&#10;AAAAAKECAABkcnMvZG93bnJldi54bWxQSwUGAAAAAAQABAD5AAAAkgMAAAAA&#10;">
              <v:stroke endarrow="block"/>
            </v:shape>
            <v:shape id="AutoShape 39" o:spid="_x0000_s1091" type="#_x0000_t32" style="position:absolute;left:6525;top:3760;width:1;height:3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nJIpLGAAAA3AAAAA8AAAAAAAAA&#10;AAAAAAAAoQIAAGRycy9kb3ducmV2LnhtbFBLBQYAAAAABAAEAPkAAACUAwAAAAA=&#10;">
              <v:stroke endarrow="block"/>
            </v:shape>
            <v:shape id="AutoShape 40" o:spid="_x0000_s1092" type="#_x0000_t32" style="position:absolute;left:8383;top:3760;width:1;height:3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aFhwnDAAAA3AAAAA8AAAAAAAAAAAAA&#10;AAAAoQIAAGRycy9kb3ducmV2LnhtbFBLBQYAAAAABAAEAPkAAACRAwAAAAA=&#10;">
              <v:stroke endarrow="block"/>
            </v:shape>
            <v:shape id="AutoShape 41" o:spid="_x0000_s1093" type="#_x0000_t32" style="position:absolute;left:3091;top:3759;width:5293;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xFB7GAAAA3AAAAA8AAAAAAAAA&#10;AAAAAAAAoQIAAGRycy9kb3ducmV2LnhtbFBLBQYAAAAABAAEAPkAAACUAwAAAAA=&#10;"/>
            <v:shape id="AutoShape 42" o:spid="_x0000_s1094" type="#_x0000_t176" style="position:absolute;left:3733;top:2684;width:1141;height:7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yJJwwAA&#10;ANwAAAAPAAAAZHJzL2Rvd25yZXYueG1sRE/basJAEH0v+A/LCH2rmwQpmrqGKLRIBcXYD5hmp0kw&#10;Oxuya0z/3i0UfJvDuc4qG00rBupdY1lBPItAEJdWN1wp+Dq/vyxAOI+ssbVMCn7JQbaePK0w1fbG&#10;JxoKX4kQwi5FBbX3XSqlK2sy6Ga2Iw7cj+0N+gD7SuoebyHctDKJoldpsOHQUGNH25rKS3E1Co6b&#10;Zre8HubD/KOyyWd+/E6K7V6p5+mYv4HwNPqH+N+902F+HMPfM+ECub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QKyJJwwAAANwAAAAPAAAAAAAAAAAAAAAAAJcCAABkcnMvZG93&#10;bnJldi54bWxQSwUGAAAAAAQABAD1AAAAhwMAAAAA&#10;" fillcolor="#fbd4b4">
              <v:fill opacity="46003f"/>
              <v:textbox>
                <w:txbxContent>
                  <w:p w:rsidR="008E2B02" w:rsidRDefault="008E2B02" w:rsidP="008E2B02">
                    <w:pPr>
                      <w:spacing w:line="240" w:lineRule="atLeast"/>
                      <w:rPr>
                        <w:sz w:val="18"/>
                        <w:szCs w:val="18"/>
                      </w:rPr>
                    </w:pPr>
                    <w:r>
                      <w:rPr>
                        <w:rFonts w:hint="eastAsia"/>
                        <w:sz w:val="18"/>
                        <w:szCs w:val="18"/>
                      </w:rPr>
                      <w:t>认真阅读销售文件</w:t>
                    </w:r>
                  </w:p>
                </w:txbxContent>
              </v:textbox>
            </v:shape>
            <v:shape id="AutoShape 43" o:spid="_x0000_s1095" type="#_x0000_t32" style="position:absolute;left:4247;top:3439;width:0;height:31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y/yxAAAANwAAAAPAAAAAAAAAAAA&#10;AAAAAKECAABkcnMvZG93bnJldi54bWxQSwUGAAAAAAQABAD5AAAAkgMAAAAA&#10;"/>
            <w10:anchorlock/>
          </v:group>
        </w:pict>
      </w:r>
    </w:p>
    <w:p w:rsidR="008E2B02" w:rsidRDefault="008E2B02" w:rsidP="008E2B02">
      <w:pPr>
        <w:spacing w:line="300" w:lineRule="auto"/>
        <w:rPr>
          <w:rFonts w:ascii="宋体" w:hAnsi="宋体"/>
          <w:kern w:val="0"/>
          <w:sz w:val="22"/>
        </w:rPr>
      </w:pPr>
    </w:p>
    <w:p w:rsidR="008E2B02" w:rsidRDefault="008E2B02" w:rsidP="008E2B02">
      <w:pPr>
        <w:pStyle w:val="2"/>
        <w:spacing w:line="300" w:lineRule="auto"/>
        <w:ind w:firstLine="510"/>
        <w:rPr>
          <w:rFonts w:ascii="宋体" w:hAnsi="宋体"/>
          <w:sz w:val="22"/>
          <w:szCs w:val="22"/>
        </w:rPr>
      </w:pPr>
      <w:r>
        <w:rPr>
          <w:rFonts w:ascii="宋体" w:hAnsi="宋体" w:hint="eastAsia"/>
          <w:b/>
          <w:sz w:val="22"/>
          <w:szCs w:val="22"/>
        </w:rPr>
        <w:t>温馨提示</w:t>
      </w:r>
      <w:r>
        <w:rPr>
          <w:rFonts w:ascii="宋体" w:hAnsi="宋体" w:hint="eastAsia"/>
          <w:sz w:val="22"/>
          <w:szCs w:val="22"/>
        </w:rPr>
        <w:t>：请您认真阅读《风险揭示书》中的风险提示部分，并充分知晓产品风险，自愿购买我行理财产品，您一旦作出投资决策，产品运营过程中产生的投资揭示风险，将由您自行承担。</w:t>
      </w:r>
    </w:p>
    <w:p w:rsidR="008E2B02" w:rsidRDefault="008E2B02" w:rsidP="008E2B02">
      <w:pPr>
        <w:spacing w:line="300" w:lineRule="auto"/>
        <w:ind w:firstLineChars="200" w:firstLine="440"/>
        <w:rPr>
          <w:rFonts w:ascii="宋体" w:hAnsi="宋体"/>
          <w:kern w:val="0"/>
          <w:sz w:val="22"/>
        </w:rPr>
      </w:pPr>
      <w:r>
        <w:rPr>
          <w:rFonts w:ascii="宋体" w:hAnsi="宋体" w:hint="eastAsia"/>
          <w:sz w:val="22"/>
        </w:rPr>
        <w:t>（二）网上银行</w:t>
      </w:r>
    </w:p>
    <w:p w:rsidR="008E2B02" w:rsidRDefault="00962CEB" w:rsidP="008E2B02">
      <w:pPr>
        <w:spacing w:line="300" w:lineRule="auto"/>
        <w:rPr>
          <w:rFonts w:ascii="宋体" w:hAnsi="宋体"/>
          <w:sz w:val="22"/>
        </w:rPr>
      </w:pPr>
      <w:r>
        <w:rPr>
          <w:rFonts w:ascii="宋体" w:hAnsi="宋体"/>
          <w:noProof/>
          <w:sz w:val="22"/>
        </w:rPr>
      </w:r>
      <w:r>
        <w:rPr>
          <w:rFonts w:ascii="宋体" w:hAnsi="宋体"/>
          <w:noProof/>
          <w:sz w:val="22"/>
        </w:rPr>
        <w:pict>
          <v:group id="Group 2" o:spid="_x0000_s1054" style="width:494.75pt;height:176.05pt;mso-position-horizontal-relative:char;mso-position-vertical-relative:line" coordorigin="1206,9047" coordsize="10059,3307">
            <v:rect id="Rectangle 3" o:spid="_x0000_s1055" style="position:absolute;left:4891;top:10968;width:944;height:66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N36GwAAA&#10;ANsAAAAPAAAAZHJzL2Rvd25yZXYueG1sRE/LisIwFN0P+A/hCrPTRB2rVqOIIAw4LnyA20tzbYvN&#10;TW2idv7eLAZmeTjvxaq1lXhS40vHGgZ9BYI4c6bkXMP5tO1NQfiAbLByTBp+ycNq2flYYGrciw/0&#10;PIZcxBD2KWooQqhTKX1WkEXfdzVx5K6usRgibHJpGnzFcFvJoVKJtFhybCiwpk1B2e34sBow+TL3&#10;/XX0c9o9EpzlrdqOL0rrz267noMI1IZ/8Z/722iYxPXxS/wBcvk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N36GwAAAANsAAAAPAAAAAAAAAAAAAAAAAJcCAABkcnMvZG93bnJl&#10;di54bWxQSwUGAAAAAAQABAD1AAAAhAMAAAAA&#10;" stroked="f">
              <v:textbox>
                <w:txbxContent>
                  <w:p w:rsidR="008E2B02" w:rsidRDefault="008E2B02" w:rsidP="008E2B02">
                    <w:pPr>
                      <w:ind w:firstLineChars="50" w:firstLine="90"/>
                    </w:pPr>
                    <w:r>
                      <w:rPr>
                        <w:rFonts w:hint="eastAsia"/>
                        <w:sz w:val="18"/>
                        <w:szCs w:val="18"/>
                      </w:rPr>
                      <w:t>查询</w:t>
                    </w:r>
                  </w:p>
                </w:txbxContent>
              </v:textbox>
            </v:rect>
            <v:shape id="AutoShape 4" o:spid="_x0000_s1056" type="#_x0000_t176" style="position:absolute;left:1206;top:9047;width:1689;height:7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72sZxAAA&#10;ANsAAAAPAAAAZHJzL2Rvd25yZXYueG1sRI/RasJAFETfC/7Dcgt9041BqkZXUaFFKihGP+CavSah&#10;2bshu8b4925B6OMwM2eY+bIzlWipcaVlBcNBBII4s7rkXMH59NWfgHAeWWNlmRQ8yMFy0XubY6Lt&#10;nY/Upj4XAcIuQQWF93UipcsKMugGtiYO3tU2Bn2QTS51g/cAN5WMo+hTGiw5LBRY06ag7De9GQWH&#10;dbmd3vajdvSd2/hndbjE6Wan1Md7t5qB8NT5//CrvdUKxkP4+xJ+gFw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9rGcQAAADbAAAADwAAAAAAAAAAAAAAAACXAgAAZHJzL2Rv&#10;d25yZXYueG1sUEsFBgAAAAAEAAQA9QAAAIgDAAAAAA==&#10;" fillcolor="#fbd4b4">
              <v:fill opacity="46003f"/>
              <v:textbox>
                <w:txbxContent>
                  <w:p w:rsidR="008E2B02" w:rsidRDefault="008E2B02" w:rsidP="008E2B02">
                    <w:pPr>
                      <w:spacing w:line="240" w:lineRule="atLeast"/>
                      <w:rPr>
                        <w:sz w:val="18"/>
                        <w:szCs w:val="18"/>
                      </w:rPr>
                    </w:pPr>
                    <w:r>
                      <w:rPr>
                        <w:rFonts w:hint="eastAsia"/>
                        <w:sz w:val="18"/>
                        <w:szCs w:val="18"/>
                      </w:rPr>
                      <w:t>登录网上银行大众版或专业版</w:t>
                    </w:r>
                  </w:p>
                </w:txbxContent>
              </v:textbox>
            </v:shape>
            <v:shape id="AutoShape 5" o:spid="_x0000_s1057" type="#_x0000_t176" style="position:absolute;left:3165;top:9165;width:1065;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fVuxQAA&#10;ANsAAAAPAAAAZHJzL2Rvd25yZXYueG1sRI/RasJAFETfC/2H5Qp9041Bqk3dBCu0iILS6AfcZq9J&#10;MHs3ZNeY/n1XEPo4zMwZZpkNphE9da62rGA6iUAQF1bXXCo4HT/HCxDOI2tsLJOCX3KQpc9PS0y0&#10;vfE39bkvRYCwS1BB5X2bSOmKigy6iW2Jg3e2nUEfZFdK3eEtwE0j4yh6lQZrDgsVtrSuqLjkV6Pg&#10;8FFv3q77WT/7Km28XR1+4ny9U+plNKzeQXga/H/40d5oBfMY7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99W7FAAAA2w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投资管理</w:t>
                    </w:r>
                  </w:p>
                </w:txbxContent>
              </v:textbox>
            </v:shape>
            <v:shape id="AutoShape 6" o:spid="_x0000_s1058" type="#_x0000_t176" style="position:absolute;left:4499;top:9047;width:1141;height:7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cVD1xAAA&#10;ANsAAAAPAAAAZHJzL2Rvd25yZXYueG1sRI/RasJAFETfBf9huQXfdNMotk1dRQVFFCpN+wG32dsk&#10;mL0bsmuMf+8Kgo/DzJxhZovOVKKlxpWWFbyOIhDEmdUl5wp+fzbDdxDOI2usLJOCKzlYzPu9GSba&#10;Xvib2tTnIkDYJaig8L5OpHRZQQbdyNbEwfu3jUEfZJNL3eAlwE0l4yiaSoMlh4UCa1oXlJ3Ss1Fw&#10;XJW7j/PXpJ1scxvvl8e/OF0flBq8dMtPEJ46/ww/2jut4G0M9y/hB8j5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FQ9cQAAADbAAAADwAAAAAAAAAAAAAAAACXAgAAZHJzL2Rv&#10;d25yZXYueG1sUEsFBgAAAAAEAAQA9QAAAIgDAAAAAA==&#10;" fillcolor="#fbd4b4">
              <v:fill opacity="46003f"/>
              <v:textbox>
                <w:txbxContent>
                  <w:p w:rsidR="008E2B02" w:rsidRDefault="008E2B02" w:rsidP="008E2B02">
                    <w:pPr>
                      <w:spacing w:line="240" w:lineRule="atLeast"/>
                      <w:ind w:left="180" w:hangingChars="100" w:hanging="180"/>
                      <w:rPr>
                        <w:sz w:val="18"/>
                        <w:szCs w:val="18"/>
                      </w:rPr>
                    </w:pPr>
                    <w:r>
                      <w:rPr>
                        <w:rFonts w:hint="eastAsia"/>
                        <w:sz w:val="18"/>
                        <w:szCs w:val="18"/>
                      </w:rPr>
                      <w:t>受托理财首页</w:t>
                    </w:r>
                  </w:p>
                </w:txbxContent>
              </v:textbox>
            </v:shape>
            <v:shape id="AutoShape 7" o:spid="_x0000_s1059" type="#_x0000_t176" style="position:absolute;left:5910;top:9165;width:1471;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mMiBxAAA&#10;ANsAAAAPAAAAZHJzL2Rvd25yZXYueG1sRI/RasJAFETfC/7Dcgu+6aYhWE1dRQVFWlCMfsBt9jYJ&#10;zd4N2TXGv3cLQh+HmTnDzJe9qUVHrassK3gbRyCIc6srLhRcztvRFITzyBpry6TgTg6Wi8HLHFNt&#10;b3yiLvOFCBB2KSoovW9SKV1ekkE3tg1x8H5sa9AH2RZSt3gLcFPLOIom0mDFYaHEhjYl5b/Z1Sg4&#10;rqv97HpIumRX2PhzdfyOs82XUsPXfvUBwlPv/8PP9l4reE/g70v4AXL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ZjIgcQAAADbAAAADwAAAAAAAAAAAAAAAACXAgAAZHJzL2Rv&#10;d25yZXYueG1sUEsFBgAAAAAEAAQA9QAAAIgDAAAAAA==&#10;" fillcolor="#fbd4b4">
              <v:fill opacity="46003f"/>
              <v:textbox>
                <w:txbxContent>
                  <w:p w:rsidR="008E2B02" w:rsidRDefault="008E2B02" w:rsidP="008E2B02">
                    <w:pPr>
                      <w:spacing w:line="240" w:lineRule="atLeast"/>
                      <w:rPr>
                        <w:sz w:val="18"/>
                        <w:szCs w:val="18"/>
                      </w:rPr>
                    </w:pPr>
                    <w:r>
                      <w:rPr>
                        <w:rFonts w:hint="eastAsia"/>
                        <w:sz w:val="18"/>
                        <w:szCs w:val="18"/>
                      </w:rPr>
                      <w:t>选择理财产品</w:t>
                    </w:r>
                  </w:p>
                </w:txbxContent>
              </v:textbox>
            </v:shape>
            <v:shape id="AutoShape 8" o:spid="_x0000_s1060" type="#_x0000_t176" style="position:absolute;left:5835;top:10067;width:1590;height:76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1G0axQAA&#10;ANsAAAAPAAAAZHJzL2Rvd25yZXYueG1sRI/RasJAFETfhf7Dcgu+1U2DWk2zERVapELF2A+4zd4m&#10;odm7IbvG+PddoeDjMDNnmHQ1mEb01LnasoLnSQSCuLC65lLB1+ntaQHCeWSNjWVScCUHq+xhlGKi&#10;7YWP1Oe+FAHCLkEFlfdtIqUrKjLoJrYlDt6P7Qz6ILtS6g4vAW4aGUfRXBqsOSxU2NK2ouI3PxsF&#10;h029W54/p/30vbTxx/rwHefbvVLjx2H9CsLT4O/h//ZOK3iZwe1L+AEy+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LUbRrFAAAA2w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点击产品名称</w:t>
                    </w:r>
                  </w:p>
                  <w:p w:rsidR="008E2B02" w:rsidRDefault="008E2B02" w:rsidP="008E2B02">
                    <w:pPr>
                      <w:spacing w:line="240" w:lineRule="atLeast"/>
                      <w:rPr>
                        <w:sz w:val="18"/>
                        <w:szCs w:val="18"/>
                      </w:rPr>
                    </w:pPr>
                    <w:r>
                      <w:rPr>
                        <w:rFonts w:hint="eastAsia"/>
                        <w:sz w:val="18"/>
                        <w:szCs w:val="18"/>
                      </w:rPr>
                      <w:t>查看产品信息</w:t>
                    </w:r>
                  </w:p>
                  <w:p w:rsidR="008E2B02" w:rsidRDefault="008E2B02" w:rsidP="008E2B02">
                    <w:pPr>
                      <w:spacing w:line="240" w:lineRule="atLeast"/>
                      <w:rPr>
                        <w:sz w:val="18"/>
                        <w:szCs w:val="18"/>
                      </w:rPr>
                    </w:pPr>
                  </w:p>
                  <w:p w:rsidR="008E2B02" w:rsidRDefault="008E2B02" w:rsidP="008E2B02">
                    <w:pPr>
                      <w:spacing w:line="240" w:lineRule="atLeast"/>
                      <w:rPr>
                        <w:sz w:val="18"/>
                        <w:szCs w:val="18"/>
                      </w:rPr>
                    </w:pPr>
                  </w:p>
                  <w:p w:rsidR="008E2B02" w:rsidRDefault="008E2B02" w:rsidP="008E2B02">
                    <w:pPr>
                      <w:spacing w:line="240" w:lineRule="atLeast"/>
                      <w:rPr>
                        <w:sz w:val="18"/>
                        <w:szCs w:val="18"/>
                      </w:rPr>
                    </w:pPr>
                  </w:p>
                </w:txbxContent>
              </v:textbox>
            </v:shape>
            <v:shape id="AutoShape 9" o:spid="_x0000_s1061" type="#_x0000_t176" style="position:absolute;left:7725;top:9945;width:1110;height:8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BvNtxQAA&#10;ANsAAAAPAAAAZHJzL2Rvd25yZXYueG1sRI/RasJAFETfhf7Dcgu+1U2DWJu6CVaoiAWDaT/gNnub&#10;hGbvhuwa49+7QsHHYWbOMKtsNK0YqHeNZQXPswgEcWl1w5WC76+PpyUI55E1tpZJwYUcZOnDZIWJ&#10;tmc+0lD4SgQIuwQV1N53iZSurMmgm9mOOHi/tjfog+wrqXs8B7hpZRxFC2mw4bBQY0ebmsq/4mQU&#10;5O/N7vV0mA/zbWXj/Tr/iYvNp1LTx3H9BsLT6O/h//ZOK3hZwO1L+AEyv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IG823FAAAA2w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返回界面</w:t>
                    </w:r>
                  </w:p>
                  <w:p w:rsidR="008E2B02" w:rsidRDefault="008E2B02" w:rsidP="008E2B02">
                    <w:pPr>
                      <w:spacing w:line="240" w:lineRule="atLeast"/>
                      <w:rPr>
                        <w:sz w:val="18"/>
                        <w:szCs w:val="18"/>
                      </w:rPr>
                    </w:pPr>
                    <w:r>
                      <w:rPr>
                        <w:rFonts w:hint="eastAsia"/>
                        <w:sz w:val="18"/>
                        <w:szCs w:val="18"/>
                      </w:rPr>
                      <w:t>点击购买</w:t>
                    </w:r>
                  </w:p>
                </w:txbxContent>
              </v:textbox>
            </v:shape>
            <v:shape id="AutoShape 10" o:spid="_x0000_s1062" type="#_x0000_t176" style="position:absolute;left:6107;top:11199;width:1065;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Slb2xQAA&#10;ANsAAAAPAAAAZHJzL2Rvd25yZXYueG1sRI/RasJAFETfC/7DcoW+1Y1BahvdBBUsUsHQtB9wm70m&#10;wezdkF1j+vddodDHYWbOMOtsNK0YqHeNZQXzWQSCuLS64UrB1+f+6QWE88gaW8uk4IccZOnkYY2J&#10;tjf+oKHwlQgQdgkqqL3vEildWZNBN7MdcfDOtjfog+wrqXu8BbhpZRxFz9Jgw2Ghxo52NZWX4moU&#10;5Nvm8Ho9LYbFW2Xj903+HRe7o1KP03GzAuFp9P/hv/ZBK1gu4f4l/ACZ/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1KVvbFAAAA2w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当前持仓</w:t>
                    </w:r>
                  </w:p>
                </w:txbxContent>
              </v:textbox>
            </v:shape>
            <v:shape id="AutoShape 11" o:spid="_x0000_s1063" type="#_x0000_t176" style="position:absolute;left:9135;top:9677;width:2130;height:150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1cKEwQAA&#10;ANsAAAAPAAAAZHJzL2Rvd25yZXYueG1sRE/NisIwEL4v+A5hBG9rahFXq1FUUGQXFKsPMDZjW2wm&#10;pYm1vv3msLDHj+9/sepMJVpqXGlZwWgYgSDOrC45V3C97D6nIJxH1lhZJgVvcrBa9j4WmGj74jO1&#10;qc9FCGGXoILC+zqR0mUFGXRDWxMH7m4bgz7AJpe6wVcIN5WMo2giDZYcGgqsaVtQ9kifRsFpUx5m&#10;z+O4He9zG3+vT7c43f4oNeh36zkIT53/F/+5D1rBVxgbvoQfIJ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XChMEAAADbAAAADwAAAAAAAAAAAAAAAACXAgAAZHJzL2Rvd25y&#10;ZXYueG1sUEsFBgAAAAAEAAQA9QAAAIUDAAAAAA==&#10;" fillcolor="#fbd4b4">
              <v:fill opacity="46003f"/>
              <v:textbox>
                <w:txbxContent>
                  <w:p w:rsidR="008E2B02" w:rsidRDefault="008E2B02" w:rsidP="008E2B02">
                    <w:pPr>
                      <w:spacing w:line="240" w:lineRule="atLeast"/>
                      <w:ind w:leftChars="-26" w:left="-55" w:rightChars="1" w:right="2"/>
                      <w:rPr>
                        <w:sz w:val="18"/>
                        <w:szCs w:val="18"/>
                      </w:rPr>
                    </w:pPr>
                    <w:r>
                      <w:rPr>
                        <w:rFonts w:hint="eastAsia"/>
                        <w:sz w:val="18"/>
                        <w:szCs w:val="18"/>
                      </w:rPr>
                      <w:t>阅读相关销售文件，确认风险揭示书抄录、协议书签署，并按操作指示输入相关信息</w:t>
                    </w:r>
                  </w:p>
                </w:txbxContent>
              </v:textbox>
            </v:shape>
            <v:shape id="AutoShape 12" o:spid="_x0000_s1064" type="#_x0000_t176" style="position:absolute;left:9420;top:11544;width:1530;height:8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mWcfxAAA&#10;ANsAAAAPAAAAZHJzL2Rvd25yZXYueG1sRI/RasJAFETfC/2H5Qp9041Bao2uYoUWUVAa/YBr9poE&#10;s3dDdo3x711B6OMwM2eY2aIzlWipcaVlBcNBBII4s7rkXMHx8NP/AuE8ssbKMim4k4PF/P1thom2&#10;N/6jNvW5CBB2CSoovK8TKV1WkEE3sDVx8M62MeiDbHKpG7wFuKlkHEWf0mDJYaHAmlYFZZf0ahTs&#10;v8v15LobtaPf3Mab5f4Up6utUh+9bjkF4anz/+FXe60VjCfw/B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5lnH8QAAADbAAAADwAAAAAAAAAAAAAAAACXAgAAZHJzL2Rv&#10;d25yZXYueG1sUEsFBgAAAAAEAAQA9QAAAIgDAAAAAA==&#10;" fillcolor="#fbd4b4">
              <v:fill opacity="46003f"/>
              <v:textbox>
                <w:txbxContent>
                  <w:p w:rsidR="008E2B02" w:rsidRDefault="008E2B02" w:rsidP="008E2B02">
                    <w:pPr>
                      <w:spacing w:line="240" w:lineRule="atLeast"/>
                      <w:ind w:firstLineChars="50" w:firstLine="90"/>
                      <w:rPr>
                        <w:sz w:val="18"/>
                        <w:szCs w:val="18"/>
                      </w:rPr>
                    </w:pPr>
                    <w:r>
                      <w:rPr>
                        <w:rFonts w:hint="eastAsia"/>
                        <w:sz w:val="18"/>
                        <w:szCs w:val="18"/>
                      </w:rPr>
                      <w:t>点击“确认”</w:t>
                    </w:r>
                  </w:p>
                  <w:p w:rsidR="008E2B02" w:rsidRDefault="008E2B02" w:rsidP="008E2B02">
                    <w:pPr>
                      <w:spacing w:line="240" w:lineRule="atLeast"/>
                      <w:rPr>
                        <w:sz w:val="18"/>
                        <w:szCs w:val="18"/>
                      </w:rPr>
                    </w:pPr>
                    <w:r>
                      <w:rPr>
                        <w:rFonts w:hint="eastAsia"/>
                        <w:sz w:val="18"/>
                        <w:szCs w:val="18"/>
                      </w:rPr>
                      <w:t>委托购买成功</w:t>
                    </w:r>
                  </w:p>
                </w:txbxContent>
              </v:textbox>
            </v:shape>
            <v:shape id="AutoShape 13" o:spid="_x0000_s1065" type="#_x0000_t32" style="position:absolute;left:2895;top:9378;width:270;height: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fcIXcvgAAANsAAAAPAAAAAAAAAAAAAAAAAKEC&#10;AABkcnMvZG93bnJldi54bWxQSwUGAAAAAAQABAD5AAAAjAMAAAAA&#10;">
              <v:stroke endarrow="block"/>
            </v:shape>
            <v:shape id="AutoShape 14" o:spid="_x0000_s1066" type="#_x0000_t32" style="position:absolute;left:4230;top:9377;width:268;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EfYZcUAAADbAAAADwAAAAAAAAAA&#10;AAAAAAChAgAAZHJzL2Rvd25yZXYueG1sUEsFBgAAAAAEAAQA+QAAAJMDAAAAAA==&#10;">
              <v:stroke endarrow="block"/>
            </v:shape>
            <v:shape id="AutoShape 15" o:spid="_x0000_s1067" type="#_x0000_t32" style="position:absolute;left:5640;top:9377;width:270;height: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A7r4wwQAAANsAAAAPAAAAAAAAAAAAAAAA&#10;AKECAABkcnMvZG93bnJldi54bWxQSwUGAAAAAAQABAD5AAAAjwMAAAAA&#10;">
              <v:stroke endarrow="block"/>
            </v:shape>
            <v:shape id="AutoShape 16" o:spid="_x0000_s1068" type="#_x0000_t32" style="position:absolute;left:5025;top:9812;width:0;height:2009;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0YFNxAAAANsAAAAPAAAAAAAAAAAA&#10;AAAAAKECAABkcnMvZG93bnJldi54bWxQSwUGAAAAAAQABAD5AAAAkgMAAAAA&#10;"/>
            <v:shape id="AutoShape 17" o:spid="_x0000_s1069" type="#_x0000_t32" style="position:absolute;left:5580;top:11419;width:0;height:70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jpiLVxAAAANsAAAAPAAAAAAAAAAAA&#10;AAAAAKECAABkcnMvZG93bnJldi54bWxQSwUGAAAAAAQABAD5AAAAkgMAAAAA&#10;"/>
            <v:shape id="AutoShape 18" o:spid="_x0000_s1070" type="#_x0000_t32" style="position:absolute;left:5580;top:11419;width:527;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OLlisUAAADbAAAADwAAAAAAAAAA&#10;AAAAAAChAgAAZHJzL2Rvd25yZXYueG1sUEsFBgAAAAAEAAQA+QAAAJMDAAAAAA==&#10;">
              <v:stroke endarrow="block"/>
            </v:shape>
            <v:shape id="AutoShape 19" o:spid="_x0000_s1071" type="#_x0000_t32" style="position:absolute;left:6600;top:9632;width:0;height:43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X1x+MIAAADbAAAADwAAAAAAAAAAAAAA&#10;AAChAgAAZHJzL2Rvd25yZXYueG1sUEsFBgAAAAAEAAQA+QAAAJADAAAAAA==&#10;">
              <v:stroke endarrow="block"/>
            </v:shape>
            <v:shape id="AutoShape 20" o:spid="_x0000_s1072" type="#_x0000_t32" style="position:absolute;left:7425;top:10440;width:300;height:1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5KLEHDAAAA2wAAAA8AAAAAAAAAAAAA&#10;AAAAoQIAAGRycy9kb3ducmV2LnhtbFBLBQYAAAAABAAEAPkAAACRAwAAAAA=&#10;">
              <v:stroke endarrow="block"/>
            </v:shape>
            <v:shape id="AutoShape 21" o:spid="_x0000_s1073" type="#_x0000_t32" style="position:absolute;left:8835;top:10440;width:3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tLrI8IAAADbAAAADwAAAAAAAAAAAAAA&#10;AAChAgAAZHJzL2Rvd25yZXYueG1sUEsFBgAAAAAEAAQA+QAAAJADAAAAAA==&#10;">
              <v:stroke endarrow="block"/>
            </v:shape>
            <v:shape id="AutoShape 22" o:spid="_x0000_s1074" type="#_x0000_t32" style="position:absolute;left:10170;top:11199;width:0;height:36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Z5OuMQAAADbAAAADwAAAGRycy9kb3ducmV2LnhtbESPQWvCQBSE74L/YXmCN93EgzTRVUqh&#10;RSw9qCXU2yP7TILZt2F31dhf7xYKHoeZ+YZZrnvTiis531hWkE4TEMSl1Q1XCr4P75MXED4ga2wt&#10;k4I7eVivhoMl5treeEfXfahEhLDPUUEdQpdL6cuaDPqp7Yijd7LOYIjSVVI7vEW4aeUsSebSYMNx&#10;ocaO3moqz/uLUfDzmV2Ke/FF2yLNtkd0xv8ePpQaj/rXBYhAfXiG/9sbrSBL4e9L/AFy9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nk64xAAAANsAAAAPAAAAAAAAAAAA&#10;AAAAAKECAABkcnMvZG93bnJldi54bWxQSwUGAAAAAAQABAD5AAAAkgMAAAAA&#10;">
              <v:stroke endarrow="block"/>
            </v:shape>
            <v:shape id="AutoShape 23" o:spid="_x0000_s1075" type="#_x0000_t176" style="position:absolute;left:6107;top:11919;width:1065;height:43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ROUwwAA&#10;ANsAAAAPAAAAZHJzL2Rvd25yZXYueG1sRI/RisIwFETfBf8h3AXfNN0iotUoKijigmJ3P+Da3G3L&#10;NjelibX+/UYQfBxm5gyzWHWmEi01rrSs4HMUgSDOrC45V/DzvRtOQTiPrLGyTAoe5GC17PcWmGh7&#10;5wu1qc9FgLBLUEHhfZ1I6bKCDLqRrYmD92sbgz7IJpe6wXuAm0rGUTSRBksOCwXWtC0o+0tvRsF5&#10;Ux5mt9O4He9zGx/X52ucbr+UGnx06zkIT51/h1/tg1Ywi+H5JfwAufw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MROUwwAAANsAAAAPAAAAAAAAAAAAAAAAAJcCAABkcnMvZG93&#10;bnJldi54bWxQSwUGAAAAAAQABAD1AAAAhwMAAAAA&#10;" fillcolor="#fbd4b4">
              <v:fill opacity="46003f"/>
              <v:textbox>
                <w:txbxContent>
                  <w:p w:rsidR="008E2B02" w:rsidRDefault="008E2B02" w:rsidP="008E2B02">
                    <w:pPr>
                      <w:spacing w:line="240" w:lineRule="atLeast"/>
                      <w:rPr>
                        <w:sz w:val="18"/>
                        <w:szCs w:val="18"/>
                      </w:rPr>
                    </w:pPr>
                    <w:r>
                      <w:rPr>
                        <w:rFonts w:hint="eastAsia"/>
                        <w:sz w:val="18"/>
                        <w:szCs w:val="18"/>
                      </w:rPr>
                      <w:t>当前委托</w:t>
                    </w:r>
                  </w:p>
                </w:txbxContent>
              </v:textbox>
            </v:shape>
            <v:shape id="AutoShape 24" o:spid="_x0000_s1076" type="#_x0000_t32" style="position:absolute;left:5042;top:11821;width:538;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ggXkMUAAADbAAAADwAAAAAAAAAA&#10;AAAAAAChAgAAZHJzL2Rvd25yZXYueG1sUEsFBgAAAAAEAAQA+QAAAJMDAAAAAA==&#10;"/>
            <v:shape id="AutoShape 25" o:spid="_x0000_s1077" type="#_x0000_t32" style="position:absolute;left:5580;top:12123;width:527;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6e0gxAAAANsAAAAPAAAAAAAAAAAA&#10;AAAAAKECAABkcnMvZG93bnJldi54bWxQSwUGAAAAAAQABAD5AAAAkgMAAAAA&#10;">
              <v:stroke endarrow="block"/>
            </v:shape>
            <w10:anchorlock/>
          </v:group>
        </w:pict>
      </w:r>
    </w:p>
    <w:p w:rsidR="008E2B02" w:rsidRDefault="008E2B02" w:rsidP="008E2B02">
      <w:pPr>
        <w:spacing w:line="300" w:lineRule="auto"/>
        <w:rPr>
          <w:rStyle w:val="detail1"/>
          <w:rFonts w:ascii="宋体" w:hAnsi="宋体"/>
          <w:sz w:val="22"/>
        </w:rPr>
      </w:pPr>
      <w:r>
        <w:rPr>
          <w:rFonts w:ascii="宋体" w:hAnsi="宋体" w:hint="eastAsia"/>
          <w:sz w:val="22"/>
        </w:rPr>
        <w:t>（三）电话银行</w:t>
      </w:r>
    </w:p>
    <w:p w:rsidR="008E2B02" w:rsidRDefault="00962CEB" w:rsidP="008E2B02">
      <w:pPr>
        <w:spacing w:line="300" w:lineRule="auto"/>
      </w:pPr>
      <w:r>
        <w:pict>
          <v:shape id="AutoShape 80" o:spid="_x0000_s1112" type="#_x0000_t176" style="position:absolute;left:0;text-align:left;margin-left:44.3pt;margin-top:8.55pt;width:57pt;height:37.5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" fillcolor="#fbd4b4">
            <v:fill opacity="46003f"/>
            <v:textbox>
              <w:txbxContent>
                <w:p w:rsidR="008E2B02" w:rsidRDefault="008E2B02" w:rsidP="008E2B02">
                  <w:pPr>
                    <w:spacing w:line="240" w:lineRule="atLeast"/>
                    <w:ind w:firstLineChars="50" w:firstLine="90"/>
                    <w:rPr>
                      <w:sz w:val="18"/>
                      <w:szCs w:val="18"/>
                    </w:rPr>
                  </w:pPr>
                  <w:r>
                    <w:rPr>
                      <w:rFonts w:hint="eastAsia"/>
                      <w:sz w:val="18"/>
                      <w:szCs w:val="18"/>
                    </w:rPr>
                    <w:t>选“</w:t>
                  </w:r>
                  <w:r>
                    <w:rPr>
                      <w:sz w:val="18"/>
                      <w:szCs w:val="18"/>
                    </w:rPr>
                    <w:t>1</w:t>
                  </w:r>
                  <w:r>
                    <w:rPr>
                      <w:rFonts w:hint="eastAsia"/>
                      <w:sz w:val="18"/>
                      <w:szCs w:val="18"/>
                    </w:rPr>
                    <w:t>”</w:t>
                  </w:r>
                </w:p>
                <w:p w:rsidR="008E2B02" w:rsidRDefault="008E2B02" w:rsidP="008E2B02">
                  <w:pPr>
                    <w:spacing w:line="240" w:lineRule="atLeast"/>
                    <w:rPr>
                      <w:sz w:val="18"/>
                      <w:szCs w:val="18"/>
                    </w:rPr>
                  </w:pPr>
                  <w:r>
                    <w:rPr>
                      <w:rFonts w:hint="eastAsia"/>
                      <w:sz w:val="18"/>
                      <w:szCs w:val="18"/>
                    </w:rPr>
                    <w:t>自动语音</w:t>
                  </w:r>
                </w:p>
                <w:p w:rsidR="008E2B02" w:rsidRDefault="008E2B02" w:rsidP="008E2B02"/>
                <w:p w:rsidR="008E2B02" w:rsidRDefault="008E2B02" w:rsidP="008E2B02"/>
                <w:p w:rsidR="008E2B02" w:rsidRDefault="008E2B02" w:rsidP="008E2B02"/>
                <w:p w:rsidR="008E2B02" w:rsidRDefault="008E2B02" w:rsidP="008E2B02"/>
                <w:p w:rsidR="008E2B02" w:rsidRDefault="008E2B02" w:rsidP="008E2B02"/>
                <w:p w:rsidR="008E2B02" w:rsidRDefault="008E2B02" w:rsidP="008E2B02"/>
                <w:p w:rsidR="008E2B02" w:rsidRDefault="008E2B02" w:rsidP="008E2B02">
                  <w:r>
                    <w:rPr>
                      <w:rFonts w:hint="eastAsia"/>
                    </w:rPr>
                    <w:t>“”</w:t>
                  </w:r>
                </w:p>
              </w:txbxContent>
            </v:textbox>
          </v:shape>
        </w:pict>
      </w:r>
      <w:r>
        <w:rPr>
          <w:noProof/>
        </w:rPr>
      </w:r>
      <w:r>
        <w:rPr>
          <w:noProof/>
        </w:rPr>
        <w:pict>
          <v:group id="Group 52" o:spid="_x0000_s1026" style="width:461.2pt;height:197.5pt;mso-position-horizontal-relative:char;mso-position-vertical-relative:line" coordorigin="1381,11990" coordsize="9224,3690">
            <v:rect id="Rectangle 53" o:spid="_x0000_s1027" style="position:absolute;left:7336;top:14720;width:1829;height:8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Ebh3wgAA&#10;ANoAAAAPAAAAZHJzL2Rvd25yZXYueG1sRI9Pi8IwFMTvgt8hPMGbJq67RatRZEEQ1j34B7w+mmdb&#10;bF5qE7V+e7Ow4HGYmd8w82VrK3GnxpeONYyGCgRx5kzJuYbjYT2YgPAB2WDlmDQ8ycNy0e3MMTXu&#10;wTu670MuIoR9ihqKEOpUSp8VZNEPXU0cvbNrLIYom1yaBh8Rbiv5oVQiLZYcFwqs6bug7LK/WQ2Y&#10;fJrr73m8PfzcEpzmrVp/nZTW/V67moEI1IZ3+L+9MRqm8Hcl3gC5e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gRuHfCAAAA2gAAAA8AAAAAAAAAAAAAAAAAlwIAAGRycy9kb3du&#10;cmV2LnhtbFBLBQYAAAAABAAEAPUAAACGAwAAAAA=&#10;" stroked="f">
              <v:textbox>
                <w:txbxContent>
                  <w:p w:rsidR="008E2B02" w:rsidRDefault="008E2B02" w:rsidP="008E2B02">
                    <w:r>
                      <w:rPr>
                        <w:rFonts w:hint="eastAsia"/>
                        <w:sz w:val="18"/>
                        <w:szCs w:val="18"/>
                      </w:rPr>
                      <w:t>转接人工服务专员</w:t>
                    </w:r>
                  </w:p>
                </w:txbxContent>
              </v:textbox>
            </v:rect>
            <v:group id="Group 54" o:spid="_x0000_s1028" style="position:absolute;left:1381;top:11990;width:9224;height:3690" coordorigin="1381,11990" coordsize="9224,36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group id="Group 55" o:spid="_x0000_s1029" style="position:absolute;left:1381;top:11990;width:7754;height:3690" coordorigin="1381,11990" coordsize="7754,36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AutoShape 56" o:spid="_x0000_s1030" type="#_x0000_t176" style="position:absolute;left:4170;top:11990;width:1410;height:4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4hDOwwAA&#10;ANsAAAAPAAAAZHJzL2Rvd25yZXYueG1sRE/basJAEH0v+A/LCH1rNgYpNWYVFVpChYppP2DMTpPQ&#10;7GzIrkn6926h4NscznWy7WRaMVDvGssKFlEMgri0uuFKwdfn69MLCOeRNbaWScEvOdhuZg8ZptqO&#10;fKah8JUIIexSVFB736VSurImgy6yHXHgvm1v0AfYV1L3OIZw08okjp+lwYZDQ40dHWoqf4qrUXDa&#10;N/nq+rEclm+VTd53p0tSHI5KPc6n3RqEp8nfxf/uXIf5Cfz9Eg6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4hDOwwAAANsAAAAPAAAAAAAAAAAAAAAAAJcCAABkcnMvZG93&#10;bnJldi54bWxQSwUGAAAAAAQABAD1AAAAhwMAAAAA&#10;" fillcolor="#fbd4b4">
                  <v:fill opacity="46003f"/>
                  <v:textbox>
                    <w:txbxContent>
                      <w:p w:rsidR="008E2B02" w:rsidRDefault="008E2B02" w:rsidP="008E2B02">
                        <w:pPr>
                          <w:spacing w:line="240" w:lineRule="atLeast"/>
                          <w:rPr>
                            <w:sz w:val="18"/>
                            <w:szCs w:val="18"/>
                          </w:rPr>
                        </w:pPr>
                        <w:r>
                          <w:rPr>
                            <w:rFonts w:hint="eastAsia"/>
                            <w:sz w:val="18"/>
                            <w:szCs w:val="18"/>
                          </w:rPr>
                          <w:t>输入银行卡号</w:t>
                        </w:r>
                      </w:p>
                    </w:txbxContent>
                  </v:textbox>
                </v:shape>
                <v:shape id="AutoShape 57" o:spid="_x0000_s1031" type="#_x0000_t176" style="position:absolute;left:5880;top:14495;width:1455;height:1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rrVVwwAA&#10;ANsAAAAPAAAAZHJzL2Rvd25yZXYueG1sRE/basJAEH0X/IdlCr7VTVMpNboJKlSkhQajHzBmp0lo&#10;djZk15j+fbdQ8G0O5zrrbDStGKh3jWUFT/MIBHFpdcOVgvPp7fEVhPPIGlvLpOCHHGTpdLLGRNsb&#10;H2kofCVCCLsEFdTed4mUrqzJoJvbjjhwX7Y36APsK6l7vIVw08o4il6kwYZDQ40d7Woqv4urUZBv&#10;m8Py+rkYFvvKxu+b/BIXuw+lZg/jZgXC0+jv4n/3QYf5z/D3SzhAp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rrVVwwAAANsAAAAPAAAAAAAAAAAAAAAAAJcCAABkcnMvZG93&#10;bnJldi54bWxQSwUGAAAAAAQABAD1AAAAhwMAAAAA&#10;" fillcolor="#fbd4b4">
                  <v:fill opacity="46003f"/>
                  <v:textbox>
                    <w:txbxContent>
                      <w:p w:rsidR="008E2B02" w:rsidRDefault="008E2B02" w:rsidP="008E2B02">
                        <w:pPr>
                          <w:spacing w:line="240" w:lineRule="atLeast"/>
                          <w:ind w:firstLineChars="100" w:firstLine="180"/>
                          <w:rPr>
                            <w:sz w:val="18"/>
                            <w:szCs w:val="18"/>
                          </w:rPr>
                        </w:pPr>
                        <w:r>
                          <w:rPr>
                            <w:rFonts w:hint="eastAsia"/>
                            <w:sz w:val="18"/>
                            <w:szCs w:val="18"/>
                          </w:rPr>
                          <w:t>选“</w:t>
                        </w:r>
                        <w:r>
                          <w:rPr>
                            <w:sz w:val="18"/>
                            <w:szCs w:val="18"/>
                          </w:rPr>
                          <w:t>3</w:t>
                        </w:r>
                        <w:r>
                          <w:rPr>
                            <w:rFonts w:hint="eastAsia"/>
                            <w:sz w:val="18"/>
                            <w:szCs w:val="18"/>
                          </w:rPr>
                          <w:t>”</w:t>
                        </w:r>
                      </w:p>
                      <w:p w:rsidR="008E2B02" w:rsidRDefault="008E2B02" w:rsidP="008E2B02">
                        <w:pPr>
                          <w:spacing w:line="240" w:lineRule="atLeast"/>
                          <w:rPr>
                            <w:sz w:val="18"/>
                            <w:szCs w:val="18"/>
                          </w:rPr>
                        </w:pPr>
                        <w:r>
                          <w:rPr>
                            <w:rFonts w:hint="eastAsia"/>
                            <w:sz w:val="18"/>
                            <w:szCs w:val="18"/>
                          </w:rPr>
                          <w:t>证劵、基金及理财产品业务</w:t>
                        </w:r>
                      </w:p>
                      <w:p w:rsidR="008E2B02" w:rsidRDefault="008E2B02" w:rsidP="008E2B02"/>
                    </w:txbxContent>
                  </v:textbox>
                </v:shape>
                <v:shape id="AutoShape 58" o:spid="_x0000_s1032" type="#_x0000_t176" style="position:absolute;left:5910;top:13520;width:1110;height:7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y0hwgAA&#10;ANsAAAAPAAAAZHJzL2Rvd25yZXYueG1sRE/basJAEH0X+g/LCH0zG0MoNrqKFVqkBaXRDxizYxLM&#10;zobsGtO/7wqCb3M411msBtOInjpXW1YwjWIQxIXVNZcKjofPyQyE88gaG8uk4I8crJYvowVm2t74&#10;l/rclyKEsMtQQeV9m0npiooMusi2xIE7286gD7Arpe7wFsJNI5M4fpMGaw4NFba0qai45FejYP9R&#10;b9+vu7RPv0qbfK/3pyTf/Cj1Oh7WcxCeBv8UP9xbHeancP8lHCC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HLSHCAAAA2wAAAA8AAAAAAAAAAAAAAAAAlwIAAGRycy9kb3du&#10;cmV2LnhtbFBLBQYAAAAABAAEAPUAAACGAwAAAAA=&#10;" fillcolor="#fbd4b4">
                  <v:fill opacity="46003f"/>
                  <v:textbox>
                    <w:txbxContent>
                      <w:p w:rsidR="008E2B02" w:rsidRDefault="008E2B02" w:rsidP="008E2B02">
                        <w:pPr>
                          <w:spacing w:line="240" w:lineRule="atLeast"/>
                          <w:ind w:firstLineChars="50" w:firstLine="90"/>
                          <w:rPr>
                            <w:sz w:val="18"/>
                            <w:szCs w:val="18"/>
                          </w:rPr>
                        </w:pPr>
                        <w:r>
                          <w:rPr>
                            <w:rFonts w:hint="eastAsia"/>
                            <w:sz w:val="18"/>
                            <w:szCs w:val="18"/>
                          </w:rPr>
                          <w:t>选择</w:t>
                        </w:r>
                        <w:r>
                          <w:rPr>
                            <w:sz w:val="18"/>
                            <w:szCs w:val="18"/>
                          </w:rPr>
                          <w:t>6</w:t>
                        </w:r>
                      </w:p>
                      <w:p w:rsidR="008E2B02" w:rsidRDefault="008E2B02" w:rsidP="008E2B02">
                        <w:pPr>
                          <w:spacing w:line="240" w:lineRule="atLeast"/>
                          <w:rPr>
                            <w:sz w:val="18"/>
                            <w:szCs w:val="18"/>
                          </w:rPr>
                        </w:pPr>
                        <w:r>
                          <w:rPr>
                            <w:rFonts w:hint="eastAsia"/>
                            <w:sz w:val="18"/>
                            <w:szCs w:val="18"/>
                          </w:rPr>
                          <w:t>受托理财</w:t>
                        </w:r>
                      </w:p>
                      <w:p w:rsidR="008E2B02" w:rsidRDefault="008E2B02" w:rsidP="008E2B02"/>
                    </w:txbxContent>
                  </v:textbox>
                </v:shape>
                <v:shape id="AutoShape 59" o:spid="_x0000_s1033" type="#_x0000_t176" style="position:absolute;left:7470;top:13505;width:855;height:7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C4i6wgAA&#10;ANsAAAAPAAAAZHJzL2Rvd25yZXYueG1sRE/basJAEH0v+A/LFPpWNw0qGt0EFSpSQTH6AWN2moRm&#10;Z0N2jenfdwuFvs3hXGeVDaYRPXWutqzgbRyBIC6srrlUcL28v85BOI+ssbFMCr7JQZaOnlaYaPvg&#10;M/W5L0UIYZeggsr7NpHSFRUZdGPbEgfu03YGfYBdKXWHjxBuGhlH0UwarDk0VNjStqLiK78bBadN&#10;vV/cj5N+sitt/LE+3eJ8e1Dq5XlYL0F4Gvy/+M+912H+FH5/CQfI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LiLrCAAAA2wAAAA8AAAAAAAAAAAAAAAAAlwIAAGRycy9kb3du&#10;cmV2LnhtbFBLBQYAAAAABAAEAPUAAACGAwAAAAA=&#10;" fillcolor="#fbd4b4">
                  <v:fill opacity="46003f"/>
                  <v:textbox>
                    <w:txbxContent>
                      <w:p w:rsidR="008E2B02" w:rsidRDefault="008E2B02" w:rsidP="008E2B02">
                        <w:pPr>
                          <w:spacing w:line="240" w:lineRule="atLeast"/>
                          <w:rPr>
                            <w:sz w:val="18"/>
                            <w:szCs w:val="18"/>
                          </w:rPr>
                        </w:pPr>
                        <w:r>
                          <w:rPr>
                            <w:rFonts w:hint="eastAsia"/>
                            <w:sz w:val="18"/>
                            <w:szCs w:val="18"/>
                          </w:rPr>
                          <w:t>选“</w:t>
                        </w:r>
                        <w:r>
                          <w:rPr>
                            <w:sz w:val="18"/>
                            <w:szCs w:val="18"/>
                          </w:rPr>
                          <w:t>1</w:t>
                        </w:r>
                        <w:r>
                          <w:rPr>
                            <w:rFonts w:hint="eastAsia"/>
                            <w:sz w:val="18"/>
                            <w:szCs w:val="18"/>
                          </w:rPr>
                          <w:t>”</w:t>
                        </w:r>
                      </w:p>
                      <w:p w:rsidR="008E2B02" w:rsidRDefault="008E2B02" w:rsidP="008E2B02">
                        <w:pPr>
                          <w:spacing w:line="240" w:lineRule="atLeast"/>
                          <w:ind w:firstLineChars="50" w:firstLine="90"/>
                          <w:rPr>
                            <w:sz w:val="18"/>
                            <w:szCs w:val="18"/>
                          </w:rPr>
                        </w:pPr>
                        <w:r>
                          <w:rPr>
                            <w:rFonts w:hint="eastAsia"/>
                            <w:sz w:val="18"/>
                            <w:szCs w:val="18"/>
                          </w:rPr>
                          <w:t>购买</w:t>
                        </w:r>
                      </w:p>
                      <w:p w:rsidR="008E2B02" w:rsidRDefault="008E2B02" w:rsidP="008E2B02"/>
                    </w:txbxContent>
                  </v:textbox>
                </v:shape>
                <v:shape id="AutoShape 60" o:spid="_x0000_s1034" type="#_x0000_t32" style="position:absolute;left:3810;top:12224;width:360;height: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v:shape>
                <v:shape id="AutoShape 61" o:spid="_x0000_s1035" type="#_x0000_t32" style="position:absolute;left:5520;top:13909;width:39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shape id="AutoShape 62" o:spid="_x0000_s1036" type="#_x0000_t32" style="position:absolute;left:7035;top:13909;width:42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fkf8UAAADbAAAADwAAAAAAAAAA&#10;AAAAAAChAgAAZHJzL2Rvd25yZXYueG1sUEsFBgAAAAAEAAQA+QAAAJMDAAAAAA==&#10;">
                  <v:stroke endarrow="block"/>
                </v:shape>
                <v:shape id="AutoShape 63" o:spid="_x0000_s1037" type="#_x0000_t32" style="position:absolute;left:8355;top:13909;width:45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group id="Group 64" o:spid="_x0000_s1038" style="position:absolute;left:1381;top:12314;width:4182;height:3189" coordorigin="1381,12314" coordsize="4182,31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AutoShape 65" o:spid="_x0000_s1039" type="#_x0000_t176" style="position:absolute;left:1381;top:13265;width:795;height:7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QExQAA&#10;ANsAAAAPAAAAZHJzL2Rvd25yZXYueG1sRI/RasJAFETfC/7Dcgu+1Y0hlJq6igotoUJDYz/gmr0m&#10;odm7Ibsm8e/dQqGPw8ycYdbbybRioN41lhUsFxEI4tLqhisF36e3pxcQziNrbC2Tghs52G5mD2tM&#10;tR35i4bCVyJA2KWooPa+S6V0ZU0G3cJ2xMG72N6gD7KvpO5xDHDTyjiKnqXBhsNCjR0daip/iqtR&#10;kO+bbHX9TIbkvbLxxy4/x8XhqNT8cdq9gvA0+f/wXzvTCuIl/H4JP0B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5cRATFAAAA2w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拨打</w:t>
                          </w:r>
                          <w:r>
                            <w:rPr>
                              <w:sz w:val="18"/>
                              <w:szCs w:val="18"/>
                            </w:rPr>
                            <w:t>95555</w:t>
                          </w:r>
                        </w:p>
                      </w:txbxContent>
                    </v:textbox>
                  </v:shape>
                  <v:shape id="AutoShape 66" o:spid="_x0000_s1040" type="#_x0000_t176" style="position:absolute;left:2716;top:14693;width:1140;height:79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jtpzxAAA&#10;ANsAAAAPAAAAZHJzL2Rvd25yZXYueG1sRI/RasJAFETfC/2H5Qq+1Y2LSBtdxQqKKFSa9gOu2dsk&#10;NHs3ZNcY/94VBB+HmTnDzJe9rUVHra8caxiPEhDEuTMVFxp+fzZv7yB8QDZYOyYNV/KwXLy+zDE1&#10;7sLf1GWhEBHCPkUNZQhNKqXPS7LoR64hjt6fay2GKNtCmhYvEW5rqZJkKi1WHBdKbGhdUv6fna2G&#10;42e1+zh/TbrJtnBqvzqeVLY+aD0c9KsZiEB9eIYf7Z3RoBTcv8QfIB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7ac8QAAADbAAAADwAAAAAAAAAAAAAAAACXAgAAZHJzL2Rv&#10;d25yZXYueG1sUEsFBgAAAAAEAAQA9QAAAIgDAAAAAA==&#10;" fillcolor="#fbd4b4">
                    <v:fill opacity="46003f"/>
                    <v:textbox>
                      <w:txbxContent>
                        <w:p w:rsidR="008E2B02" w:rsidRDefault="008E2B02" w:rsidP="008E2B02">
                          <w:pPr>
                            <w:spacing w:line="240" w:lineRule="atLeast"/>
                            <w:ind w:firstLineChars="100" w:firstLine="180"/>
                            <w:rPr>
                              <w:sz w:val="18"/>
                              <w:szCs w:val="18"/>
                            </w:rPr>
                          </w:pPr>
                          <w:r>
                            <w:rPr>
                              <w:rFonts w:hint="eastAsia"/>
                              <w:sz w:val="18"/>
                              <w:szCs w:val="18"/>
                            </w:rPr>
                            <w:t>选择</w:t>
                          </w:r>
                          <w:r>
                            <w:rPr>
                              <w:sz w:val="18"/>
                              <w:szCs w:val="18"/>
                            </w:rPr>
                            <w:t xml:space="preserve">2 </w:t>
                          </w:r>
                        </w:p>
                        <w:p w:rsidR="008E2B02" w:rsidRDefault="008E2B02" w:rsidP="008E2B02">
                          <w:pPr>
                            <w:spacing w:line="240" w:lineRule="atLeast"/>
                            <w:rPr>
                              <w:sz w:val="18"/>
                              <w:szCs w:val="18"/>
                            </w:rPr>
                          </w:pPr>
                          <w:r>
                            <w:rPr>
                              <w:rFonts w:hint="eastAsia"/>
                              <w:sz w:val="18"/>
                              <w:szCs w:val="18"/>
                            </w:rPr>
                            <w:t>人工咨询</w:t>
                          </w: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p w:rsidR="008E2B02" w:rsidRDefault="008E2B02" w:rsidP="008E2B02">
                          <w:pPr>
                            <w:rPr>
                              <w:sz w:val="18"/>
                              <w:szCs w:val="18"/>
                            </w:rPr>
                          </w:pPr>
                        </w:p>
                      </w:txbxContent>
                    </v:textbox>
                  </v:shape>
                  <v:shape id="AutoShape 67" o:spid="_x0000_s1041" type="#_x0000_t176" style="position:absolute;left:4110;top:14693;width:1438;height:8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wn/oxQAA&#10;ANsAAAAPAAAAZHJzL2Rvd25yZXYueG1sRI/RasJAFETfBf9huQXf6qaplBrdBBUq0kKD0Q+4Zm+T&#10;0OzdkF1j+vfdQsHHYWbOMOtsNK0YqHeNZQVP8wgEcWl1w5WC8+nt8RWE88gaW8uk4IccZOl0ssZE&#10;2xsfaSh8JQKEXYIKau+7REpX1mTQzW1HHLwv2xv0QfaV1D3eAty0Mo6iF2mw4bBQY0e7msrv4moU&#10;5NvmsLx+LobFvrLx+ya/xMXuQ6nZw7hZgfA0+nv4v33QCuJn+PsSfoB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Cf+jFAAAA2wAAAA8AAAAAAAAAAAAAAAAAlwIAAGRycy9k&#10;b3ducmV2LnhtbFBLBQYAAAAABAAEAPUAAACJAwAAAAA=&#10;" fillcolor="#fbd4b4">
                    <v:fill opacity="46003f"/>
                    <v:textbox>
                      <w:txbxContent>
                        <w:p w:rsidR="008E2B02" w:rsidRDefault="008E2B02" w:rsidP="008E2B02">
                          <w:pPr>
                            <w:spacing w:line="240" w:lineRule="atLeast"/>
                            <w:ind w:firstLineChars="100" w:firstLine="180"/>
                            <w:rPr>
                              <w:sz w:val="18"/>
                              <w:szCs w:val="18"/>
                            </w:rPr>
                          </w:pPr>
                          <w:r>
                            <w:rPr>
                              <w:rFonts w:hint="eastAsia"/>
                              <w:sz w:val="18"/>
                              <w:szCs w:val="18"/>
                            </w:rPr>
                            <w:t>选“</w:t>
                          </w:r>
                          <w:r>
                            <w:rPr>
                              <w:sz w:val="18"/>
                              <w:szCs w:val="18"/>
                            </w:rPr>
                            <w:t>1</w:t>
                          </w:r>
                          <w:r>
                            <w:rPr>
                              <w:rFonts w:hint="eastAsia"/>
                              <w:sz w:val="18"/>
                              <w:szCs w:val="18"/>
                            </w:rPr>
                            <w:t>”</w:t>
                          </w:r>
                        </w:p>
                        <w:p w:rsidR="008E2B02" w:rsidRDefault="008E2B02" w:rsidP="008E2B02">
                          <w:pPr>
                            <w:spacing w:line="240" w:lineRule="atLeast"/>
                            <w:rPr>
                              <w:sz w:val="18"/>
                              <w:szCs w:val="18"/>
                            </w:rPr>
                          </w:pPr>
                          <w:r>
                            <w:rPr>
                              <w:rFonts w:hint="eastAsia"/>
                              <w:sz w:val="18"/>
                              <w:szCs w:val="18"/>
                            </w:rPr>
                            <w:t>个人银行业务</w:t>
                          </w:r>
                        </w:p>
                        <w:p w:rsidR="008E2B02" w:rsidRDefault="008E2B02" w:rsidP="008E2B02"/>
                      </w:txbxContent>
                    </v:textbox>
                  </v:shape>
                  <v:shape id="AutoShape 68" o:spid="_x0000_s1042" type="#_x0000_t176" style="position:absolute;left:4153;top:12680;width:1410;height:4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K+ecxAAA&#10;ANsAAAAPAAAAZHJzL2Rvd25yZXYueG1sRI/RasJAFETfBf9huYJvZmMIpaauokKLVKiY9gNus9ck&#10;mL0bsmuMf+8WCj4OM3OGWa4H04ieOldbVjCPYhDEhdU1lwp+vt9nryCcR9bYWCYFd3KwXo1HS8y0&#10;vfGJ+tyXIkDYZaig8r7NpHRFRQZdZFvi4J1tZ9AH2ZVSd3gLcNPIJI5fpMGaw0KFLe0qKi751Sg4&#10;buv94vqV9ulHaZPPzfE3yXcHpaaTYfMGwtPgn+H/9l4rSFL4+xJ+gFw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vnnMQAAADbAAAADwAAAAAAAAAAAAAAAACXAgAAZHJzL2Rv&#10;d25yZXYueG1sUEsFBgAAAAAEAAQA9QAAAIgDAAAAAA==&#10;" fillcolor="#fbd4b4">
                    <v:fill opacity="46003f"/>
                    <v:textbox>
                      <w:txbxContent>
                        <w:p w:rsidR="008E2B02" w:rsidRDefault="008E2B02" w:rsidP="008E2B02">
                          <w:pPr>
                            <w:spacing w:line="240" w:lineRule="atLeast"/>
                            <w:rPr>
                              <w:sz w:val="18"/>
                              <w:szCs w:val="18"/>
                            </w:rPr>
                          </w:pPr>
                          <w:r>
                            <w:rPr>
                              <w:rFonts w:hint="eastAsia"/>
                              <w:sz w:val="18"/>
                              <w:szCs w:val="18"/>
                            </w:rPr>
                            <w:t>输入查询密码</w:t>
                          </w:r>
                        </w:p>
                        <w:p w:rsidR="008E2B02" w:rsidRDefault="008E2B02" w:rsidP="008E2B02"/>
                      </w:txbxContent>
                    </v:textbox>
                  </v:shape>
                  <v:shape id="AutoShape 69" o:spid="_x0000_s1043" type="#_x0000_t176" style="position:absolute;left:4230;top:13415;width:1275;height:1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0IHxQAA&#10;ANsAAAAPAAAAZHJzL2Rvd25yZXYueG1sRI/RasJAFETfC/2H5Qp9043Bik3dBCu0iILS6AfcZq9J&#10;MHs3ZNeY/n1XEPo4zMwZZpkNphE9da62rGA6iUAQF1bXXCo4HT/HCxDOI2tsLJOCX3KQpc9PS0y0&#10;vfE39bkvRYCwS1BB5X2bSOmKigy6iW2Jg3e2nUEfZFdK3eEtwE0j4yiaS4M1h4UKW1pXVFzyq1Fw&#10;+Kg3b9f9rJ99lTberg4/cb7eKfUyGlbvIDwN/j/8aG+0gvgV7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nQgfFAAAA2wAAAA8AAAAAAAAAAAAAAAAAlwIAAGRycy9k&#10;b3ducmV2LnhtbFBLBQYAAAAABAAEAPUAAACJAwAAAAA=&#10;" fillcolor="#fbd4b4">
                    <v:fill opacity="46003f"/>
                    <v:textbox>
                      <w:txbxContent>
                        <w:p w:rsidR="008E2B02" w:rsidRDefault="008E2B02" w:rsidP="008E2B02">
                          <w:pPr>
                            <w:spacing w:line="240" w:lineRule="atLeast"/>
                            <w:ind w:firstLineChars="100" w:firstLine="180"/>
                            <w:rPr>
                              <w:sz w:val="18"/>
                              <w:szCs w:val="18"/>
                            </w:rPr>
                          </w:pPr>
                          <w:r>
                            <w:rPr>
                              <w:rFonts w:hint="eastAsia"/>
                              <w:sz w:val="18"/>
                              <w:szCs w:val="18"/>
                            </w:rPr>
                            <w:t>选“</w:t>
                          </w:r>
                          <w:r>
                            <w:rPr>
                              <w:sz w:val="18"/>
                              <w:szCs w:val="18"/>
                            </w:rPr>
                            <w:t>3</w:t>
                          </w:r>
                          <w:r>
                            <w:rPr>
                              <w:rFonts w:hint="eastAsia"/>
                              <w:sz w:val="18"/>
                              <w:szCs w:val="18"/>
                            </w:rPr>
                            <w:t>”</w:t>
                          </w:r>
                        </w:p>
                        <w:p w:rsidR="008E2B02" w:rsidRDefault="008E2B02" w:rsidP="008E2B02">
                          <w:pPr>
                            <w:spacing w:line="240" w:lineRule="atLeast"/>
                            <w:rPr>
                              <w:sz w:val="18"/>
                              <w:szCs w:val="18"/>
                            </w:rPr>
                          </w:pPr>
                          <w:r>
                            <w:rPr>
                              <w:rFonts w:hint="eastAsia"/>
                              <w:sz w:val="18"/>
                              <w:szCs w:val="18"/>
                            </w:rPr>
                            <w:t>证劵、外汇</w:t>
                          </w:r>
                        </w:p>
                        <w:p w:rsidR="008E2B02" w:rsidRDefault="008E2B02" w:rsidP="008E2B02">
                          <w:pPr>
                            <w:spacing w:line="240" w:lineRule="atLeast"/>
                            <w:rPr>
                              <w:sz w:val="18"/>
                              <w:szCs w:val="18"/>
                            </w:rPr>
                          </w:pPr>
                          <w:r>
                            <w:rPr>
                              <w:rFonts w:hint="eastAsia"/>
                              <w:sz w:val="18"/>
                              <w:szCs w:val="18"/>
                            </w:rPr>
                            <w:t>及投资业务</w:t>
                          </w:r>
                        </w:p>
                      </w:txbxContent>
                    </v:textbox>
                  </v:shape>
                  <v:shape id="AutoShape 70" o:spid="_x0000_s1044" type="#_x0000_t32" style="position:absolute;left:2385;top:12314;width:0;height:2784;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FwH3vxAAAANsAAAAPAAAAAAAAAAAA&#10;AAAAAKECAABkcnMvZG93bnJldi54bWxQSwUGAAAAAAQABAD5AAAAkgMAAAAA&#10;"/>
                  <v:shape id="AutoShape 71" o:spid="_x0000_s1045" type="#_x0000_t32" style="position:absolute;left:2386;top:12314;width:3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oS6sMUAAADbAAAADwAAAAAAAAAA&#10;AAAAAAChAgAAZHJzL2Rvd25yZXYueG1sUEsFBgAAAAAEAAQA+QAAAJMDAAAAAA==&#10;">
                    <v:stroke endarrow="block"/>
                  </v:shape>
                  <v:shape id="AutoShape 72" o:spid="_x0000_s1046" type="#_x0000_t32" style="position:absolute;left:2416;top:15098;width:3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xsuwsIAAADbAAAADwAAAAAAAAAAAAAA&#10;AAChAgAAZHJzL2Rvd25yZXYueG1sUEsFBgAAAAAEAAQA+QAAAJADAAAAAA==&#10;">
                    <v:stroke endarrow="block"/>
                  </v:shape>
                  <v:shape id="AutoShape 73" o:spid="_x0000_s1047" type="#_x0000_t32" style="position:absolute;left:3856;top:15098;width:254;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FeLWcUAAADbAAAADwAAAAAAAAAA&#10;AAAAAAChAgAAZHJzL2Rvd25yZXYueG1sUEsFBgAAAAAEAAQA+QAAAJMDAAAAAA==&#10;">
                    <v:stroke endarrow="block"/>
                  </v:shape>
                </v:group>
                <v:shape id="AutoShape 74" o:spid="_x0000_s1048" type="#_x0000_t32" style="position:absolute;left:5563;top:15098;width:33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UtLQZwQAAANsAAAAPAAAAAAAAAAAAAAAA&#10;AKECAABkcnMvZG93bnJldi54bWxQSwUGAAAAAAQABAD5AAAAjwMAAAAA&#10;">
                  <v:stroke endarrow="block"/>
                </v:shape>
                <v:shape id="AutoShape 75" o:spid="_x0000_s1049" type="#_x0000_t32" style="position:absolute;left:7335;top:15098;width:1800;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group>
              <v:group id="Group 76" o:spid="_x0000_s1050" style="position:absolute;left:8820;top:13340;width:1785;height:2163" coordorigin="8550,13340" coordsize="1785,21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ALdkxAAAANsAAAAPAAAAZHJzL2Rvd25yZXYueG1sRI9Pi8IwFMTvgt8hPMGb&#10;ptVdWbpGEVHxIAv+gWVvj+bZFpuX0sS2fvuNIHgcZuY3zHzZmVI0VLvCsoJ4HIEgTq0uOFNwOW9H&#10;XyCcR9ZYWiYFD3KwXPR7c0y0bflIzclnIkDYJagg975KpHRpTgbd2FbEwbva2qAPss6krrENcFPK&#10;SRTNpMGCw0KOFa1zSm+nu1Gwa7FdTeNNc7hd14+/8+fP7yEmpYaDbvUNwlPn3+FXe68VzD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KALdkxAAAANsAAAAP&#10;AAAAAAAAAAAAAAAAAKkCAABkcnMvZG93bnJldi54bWxQSwUGAAAAAAQABAD6AAAAmgMAAAAA&#10;">
                <v:shape id="AutoShape 77" o:spid="_x0000_s1051" type="#_x0000_t176" style="position:absolute;left:8880;top:14723;width:1110;height:7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DfvHxQAA&#10;ANsAAAAPAAAAZHJzL2Rvd25yZXYueG1sRI/RasJAFETfC/7DcoW+1Y3BShvdBBUsUsHQtB9wm70m&#10;wezdkF1j+vddodDHYWbOMOtsNK0YqHeNZQXzWQSCuLS64UrB1+f+6QWE88gaW8uk4IccZOnkYY2J&#10;tjf+oKHwlQgQdgkqqL3vEildWZNBN7MdcfDOtjfog+wrqXu8BbhpZRxFS2mw4bBQY0e7mspLcTUK&#10;8m1zeL2eFsPirbLx+yb/jovdUanH6bhZgfA0+v/wX/ugFSyf4f4l/ACZ/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cN+8fFAAAA2wAAAA8AAAAAAAAAAAAAAAAAlwIAAGRycy9k&#10;b3ducmV2LnhtbFBLBQYAAAAABAAEAPUAAACJAwAAAAA=&#10;" fillcolor="#fbd4b4">
                  <v:fill opacity="46003f"/>
                  <v:textbox>
                    <w:txbxContent>
                      <w:p w:rsidR="008E2B02" w:rsidRDefault="008E2B02" w:rsidP="008E2B02">
                        <w:pPr>
                          <w:spacing w:line="240" w:lineRule="atLeast"/>
                          <w:rPr>
                            <w:sz w:val="18"/>
                            <w:szCs w:val="18"/>
                          </w:rPr>
                        </w:pPr>
                        <w:r>
                          <w:rPr>
                            <w:rFonts w:hint="eastAsia"/>
                            <w:sz w:val="18"/>
                            <w:szCs w:val="18"/>
                          </w:rPr>
                          <w:t>按照提示</w:t>
                        </w:r>
                      </w:p>
                      <w:p w:rsidR="008E2B02" w:rsidRDefault="008E2B02" w:rsidP="008E2B02">
                        <w:pPr>
                          <w:spacing w:line="240" w:lineRule="atLeast"/>
                          <w:rPr>
                            <w:sz w:val="18"/>
                            <w:szCs w:val="18"/>
                          </w:rPr>
                        </w:pPr>
                        <w:r>
                          <w:rPr>
                            <w:rFonts w:hint="eastAsia"/>
                            <w:sz w:val="18"/>
                            <w:szCs w:val="18"/>
                          </w:rPr>
                          <w:t>完成购买</w:t>
                        </w:r>
                      </w:p>
                    </w:txbxContent>
                  </v:textbox>
                </v:shape>
                <v:shape id="AutoShape 78" o:spid="_x0000_s1052" type="#_x0000_t176" style="position:absolute;left:8550;top:13340;width:1785;height:1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32WwxAAA&#10;ANsAAAAPAAAAZHJzL2Rvd25yZXYueG1sRI/RasJAFETfC/7DcgXf6sYgoaauooIiFirGfsBt9jYJ&#10;Zu+G7Brj33cFwcdhZs4w82VvatFR6yrLCibjCARxbnXFhYKf8/b9A4TzyBpry6TgTg6Wi8HbHFNt&#10;b3yiLvOFCBB2KSoovW9SKV1ekkE3tg1x8P5sa9AH2RZSt3gLcFPLOIoSabDisFBiQ5uS8kt2NQqO&#10;62o/u35Pu+musPFhdfyNs82XUqNhv/oE4an3r/CzvdcKkgQeX8IPkI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99lsMQAAADbAAAADwAAAAAAAAAAAAAAAACXAgAAZHJzL2Rv&#10;d25yZXYueG1sUEsFBgAAAAAEAAQA9QAAAIgDAAAAAA==&#10;" fillcolor="#fbd4b4">
                  <v:fill opacity="46003f"/>
                  <v:textbox>
                    <w:txbxContent>
                      <w:p w:rsidR="008E2B02" w:rsidRDefault="008E2B02" w:rsidP="008E2B02">
                        <w:pPr>
                          <w:spacing w:line="240" w:lineRule="atLeast"/>
                          <w:ind w:firstLineChars="150" w:firstLine="270"/>
                          <w:rPr>
                            <w:sz w:val="18"/>
                            <w:szCs w:val="18"/>
                          </w:rPr>
                        </w:pPr>
                        <w:r>
                          <w:rPr>
                            <w:rFonts w:hint="eastAsia"/>
                            <w:sz w:val="18"/>
                            <w:szCs w:val="18"/>
                          </w:rPr>
                          <w:t>输入购买</w:t>
                        </w:r>
                      </w:p>
                      <w:p w:rsidR="008E2B02" w:rsidRDefault="008E2B02" w:rsidP="008E2B02">
                        <w:pPr>
                          <w:spacing w:line="240" w:lineRule="atLeast"/>
                          <w:ind w:firstLineChars="100" w:firstLine="180"/>
                          <w:rPr>
                            <w:sz w:val="18"/>
                            <w:szCs w:val="18"/>
                          </w:rPr>
                        </w:pPr>
                        <w:r>
                          <w:rPr>
                            <w:rFonts w:hint="eastAsia"/>
                            <w:sz w:val="18"/>
                            <w:szCs w:val="18"/>
                          </w:rPr>
                          <w:t>理财产品代码</w:t>
                        </w:r>
                      </w:p>
                      <w:p w:rsidR="008E2B02" w:rsidRDefault="008E2B02" w:rsidP="008E2B02">
                        <w:pPr>
                          <w:spacing w:line="240" w:lineRule="atLeast"/>
                          <w:rPr>
                            <w:sz w:val="18"/>
                            <w:szCs w:val="18"/>
                          </w:rPr>
                        </w:pPr>
                        <w:r>
                          <w:rPr>
                            <w:rFonts w:hint="eastAsia"/>
                            <w:sz w:val="18"/>
                            <w:szCs w:val="18"/>
                          </w:rPr>
                          <w:t>（查询按“</w:t>
                        </w:r>
                        <w:r>
                          <w:rPr>
                            <w:sz w:val="18"/>
                            <w:szCs w:val="18"/>
                          </w:rPr>
                          <w:t>*#</w:t>
                        </w:r>
                        <w:r>
                          <w:rPr>
                            <w:rFonts w:hint="eastAsia"/>
                            <w:sz w:val="18"/>
                            <w:szCs w:val="18"/>
                          </w:rPr>
                          <w:t>”键）</w:t>
                        </w:r>
                      </w:p>
                    </w:txbxContent>
                  </v:textbox>
                </v:shape>
                <v:shape id="AutoShape 79" o:spid="_x0000_s1053" type="#_x0000_t32" style="position:absolute;left:9450;top:14420;width:0;height:303;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O4DcMUAAADbAAAADwAAAAAAAAAA&#10;AAAAAAChAgAAZHJzL2Rvd25yZXYueG1sUEsFBgAAAAAEAAQA+QAAAJMDAAAAAA==&#10;">
                  <v:stroke endarrow="block"/>
                </v:shape>
              </v:group>
            </v:group>
            <w10:anchorlock/>
          </v:group>
        </w:pict>
      </w:r>
    </w:p>
    <w:p w:rsidR="008E2B02" w:rsidRDefault="008E2B02" w:rsidP="008E2B02">
      <w:pPr>
        <w:spacing w:line="300" w:lineRule="auto"/>
        <w:ind w:firstLineChars="200" w:firstLine="440"/>
        <w:rPr>
          <w:rFonts w:ascii="宋体" w:hAnsi="宋体"/>
          <w:sz w:val="22"/>
        </w:rPr>
      </w:pPr>
      <w:r>
        <w:rPr>
          <w:rFonts w:ascii="宋体" w:hAnsi="宋体" w:hint="eastAsia"/>
          <w:sz w:val="22"/>
        </w:rPr>
        <w:t>（四）手机银行</w:t>
      </w:r>
    </w:p>
    <w:p w:rsidR="008E2B02" w:rsidRDefault="008E2B02" w:rsidP="008E2B02">
      <w:pPr>
        <w:spacing w:line="300" w:lineRule="auto"/>
        <w:ind w:firstLineChars="200" w:firstLine="440"/>
        <w:rPr>
          <w:rStyle w:val="detail1"/>
          <w:rFonts w:ascii="宋体" w:hAnsi="宋体"/>
          <w:sz w:val="22"/>
        </w:rPr>
      </w:pPr>
      <w:r>
        <w:rPr>
          <w:rFonts w:ascii="宋体" w:hAnsi="宋体" w:hint="eastAsia"/>
          <w:kern w:val="0"/>
          <w:sz w:val="22"/>
        </w:rPr>
        <w:t>免费下载手机银行客户端软件，登录招商银行手机银行界面，理财产品购买流程请参照“网上银行”。</w:t>
      </w:r>
    </w:p>
    <w:p w:rsidR="008E2B02" w:rsidRDefault="008E2B02" w:rsidP="008E2B02">
      <w:pPr>
        <w:spacing w:line="300" w:lineRule="auto"/>
        <w:ind w:firstLineChars="200" w:firstLine="422"/>
        <w:rPr>
          <w:b/>
          <w:kern w:val="0"/>
        </w:rPr>
      </w:pPr>
    </w:p>
    <w:p w:rsidR="008E2B02" w:rsidRDefault="008E2B02" w:rsidP="008E2B02">
      <w:pPr>
        <w:spacing w:line="300" w:lineRule="auto"/>
        <w:ind w:firstLineChars="200" w:firstLine="442"/>
        <w:rPr>
          <w:rFonts w:ascii="宋体" w:hAnsi="宋体"/>
          <w:b/>
          <w:kern w:val="0"/>
          <w:sz w:val="22"/>
        </w:rPr>
      </w:pPr>
      <w:r>
        <w:rPr>
          <w:rFonts w:ascii="宋体" w:hAnsi="宋体" w:hint="eastAsia"/>
          <w:b/>
          <w:kern w:val="0"/>
          <w:sz w:val="22"/>
        </w:rPr>
        <w:t>第三部 了解理财产品的信息披露方式、渠道和频率</w:t>
      </w:r>
    </w:p>
    <w:p w:rsidR="008E2B02" w:rsidRDefault="008E2B02" w:rsidP="008E2B02">
      <w:pPr>
        <w:spacing w:line="300" w:lineRule="auto"/>
        <w:ind w:firstLineChars="200" w:firstLine="440"/>
        <w:rPr>
          <w:rFonts w:ascii="宋体" w:hAnsi="宋体"/>
          <w:kern w:val="0"/>
          <w:sz w:val="22"/>
        </w:rPr>
      </w:pP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有关产品相关信息的披露方式、渠道和频率，您可根据《产品说明书》中所载明的“信息公告”约定，及时登录招商银行网站或致电招商银行全国统一客户服务热线（95555）或到招商银行营业网点进行查询。</w:t>
      </w:r>
    </w:p>
    <w:p w:rsidR="008E2B02" w:rsidRDefault="008E2B02" w:rsidP="008E2B02">
      <w:pPr>
        <w:spacing w:line="300" w:lineRule="auto"/>
        <w:ind w:firstLine="413"/>
        <w:rPr>
          <w:rFonts w:ascii="宋体" w:hAnsi="宋体"/>
          <w:b/>
          <w:kern w:val="0"/>
          <w:sz w:val="22"/>
        </w:rPr>
      </w:pPr>
    </w:p>
    <w:p w:rsidR="008E2B02" w:rsidRDefault="008E2B02" w:rsidP="008E2B02">
      <w:pPr>
        <w:spacing w:line="300" w:lineRule="auto"/>
        <w:ind w:firstLine="413"/>
        <w:rPr>
          <w:rFonts w:ascii="宋体" w:hAnsi="宋体"/>
          <w:b/>
          <w:kern w:val="0"/>
          <w:sz w:val="22"/>
        </w:rPr>
      </w:pPr>
      <w:r>
        <w:rPr>
          <w:rFonts w:ascii="宋体" w:hAnsi="宋体" w:hint="eastAsia"/>
          <w:b/>
          <w:kern w:val="0"/>
          <w:sz w:val="22"/>
        </w:rPr>
        <w:t>二、客户对银行理财产品的投诉方式和程序</w:t>
      </w:r>
    </w:p>
    <w:p w:rsidR="008E2B02" w:rsidRDefault="008E2B02" w:rsidP="008E2B02">
      <w:pPr>
        <w:spacing w:line="300" w:lineRule="auto"/>
        <w:ind w:firstLineChars="200" w:firstLine="440"/>
        <w:rPr>
          <w:rFonts w:ascii="宋体" w:hAnsi="宋体"/>
          <w:kern w:val="0"/>
          <w:sz w:val="22"/>
        </w:rPr>
      </w:pP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如您对所购买的理财计划有任何意见或建议，请联系招商银行的理财经理或反馈至招商银行各营业网点，也可致电招商银行全国统一客户服务热线（95555）。我行将及时受理并给予答复。</w:t>
      </w:r>
    </w:p>
    <w:p w:rsidR="008E2B02" w:rsidRDefault="008E2B02" w:rsidP="008E2B02">
      <w:pPr>
        <w:spacing w:line="300" w:lineRule="auto"/>
        <w:ind w:firstLine="413"/>
        <w:rPr>
          <w:rFonts w:ascii="宋体" w:hAnsi="宋体"/>
          <w:b/>
          <w:kern w:val="0"/>
          <w:sz w:val="22"/>
        </w:rPr>
      </w:pPr>
    </w:p>
    <w:p w:rsidR="008E2B02" w:rsidRDefault="008E2B02" w:rsidP="008E2B02">
      <w:pPr>
        <w:spacing w:line="300" w:lineRule="auto"/>
        <w:ind w:firstLine="413"/>
        <w:rPr>
          <w:rFonts w:ascii="宋体" w:hAnsi="宋体"/>
          <w:b/>
          <w:kern w:val="0"/>
          <w:sz w:val="22"/>
        </w:rPr>
      </w:pPr>
      <w:r>
        <w:rPr>
          <w:rFonts w:ascii="宋体" w:hAnsi="宋体" w:hint="eastAsia"/>
          <w:b/>
          <w:kern w:val="0"/>
          <w:sz w:val="22"/>
        </w:rPr>
        <w:t>三、招商银行联络方式</w:t>
      </w:r>
    </w:p>
    <w:p w:rsidR="008E2B02" w:rsidRDefault="008E2B02" w:rsidP="008E2B02">
      <w:pPr>
        <w:spacing w:line="300" w:lineRule="auto"/>
        <w:ind w:firstLineChars="200" w:firstLine="440"/>
        <w:rPr>
          <w:rFonts w:ascii="宋体" w:hAnsi="宋体"/>
          <w:kern w:val="0"/>
          <w:sz w:val="22"/>
        </w:rPr>
      </w:pP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（一）全国统一客户服务热线：95555。</w:t>
      </w: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（二）境外服务热线：86-755-84391000，86-755-84391999。</w:t>
      </w:r>
    </w:p>
    <w:p w:rsidR="008E2B02" w:rsidRDefault="008E2B02" w:rsidP="008E2B02">
      <w:pPr>
        <w:spacing w:line="300" w:lineRule="auto"/>
        <w:ind w:firstLineChars="200" w:firstLine="440"/>
        <w:rPr>
          <w:rFonts w:ascii="宋体" w:hAnsi="宋体"/>
          <w:kern w:val="0"/>
          <w:sz w:val="22"/>
        </w:rPr>
      </w:pPr>
      <w:r>
        <w:rPr>
          <w:rFonts w:ascii="宋体" w:hAnsi="宋体" w:hint="eastAsia"/>
          <w:kern w:val="0"/>
          <w:sz w:val="22"/>
        </w:rPr>
        <w:t>（三）“一网通”网站：</w:t>
      </w:r>
      <w:hyperlink r:id="rId8" w:history="1">
        <w:r>
          <w:rPr>
            <w:rStyle w:val="a7"/>
            <w:rFonts w:ascii="宋体" w:hAnsi="宋体" w:hint="eastAsia"/>
            <w:sz w:val="22"/>
          </w:rPr>
          <w:t>www.cmbchina.com</w:t>
        </w:r>
      </w:hyperlink>
    </w:p>
    <w:p w:rsidR="008E2B02" w:rsidRDefault="008E2B02" w:rsidP="008E2B02">
      <w:pPr>
        <w:spacing w:line="300" w:lineRule="auto"/>
        <w:rPr>
          <w:rFonts w:ascii="宋体" w:hAnsi="宋体"/>
          <w:kern w:val="0"/>
          <w:sz w:val="22"/>
        </w:rPr>
      </w:pPr>
    </w:p>
    <w:p w:rsidR="008E2B02" w:rsidRDefault="008E2B02" w:rsidP="008E2B02">
      <w:pPr>
        <w:spacing w:line="300" w:lineRule="auto"/>
        <w:rPr>
          <w:rFonts w:ascii="宋体" w:hAnsi="宋体"/>
          <w:kern w:val="0"/>
          <w:sz w:val="22"/>
        </w:rPr>
      </w:pPr>
    </w:p>
    <w:p w:rsidR="008E2B02" w:rsidRDefault="008E2B02" w:rsidP="008E2B02">
      <w:pPr>
        <w:adjustRightInd w:val="0"/>
        <w:snapToGrid w:val="0"/>
        <w:spacing w:line="300" w:lineRule="auto"/>
        <w:jc w:val="left"/>
        <w:rPr>
          <w:rFonts w:ascii="宋体" w:hAnsi="宋体"/>
          <w:sz w:val="22"/>
          <w:szCs w:val="22"/>
        </w:rPr>
      </w:pPr>
      <w:r>
        <w:rPr>
          <w:rFonts w:ascii="宋体" w:hAnsi="宋体" w:hint="eastAsia"/>
          <w:kern w:val="0"/>
          <w:sz w:val="22"/>
        </w:rPr>
        <w:t xml:space="preserve">                                                    招商银行股份有限公司</w:t>
      </w:r>
    </w:p>
    <w:p w:rsidR="008E2B02" w:rsidRDefault="008E2B02" w:rsidP="008E2B02">
      <w:pPr>
        <w:spacing w:line="300" w:lineRule="auto"/>
        <w:rPr>
          <w:rFonts w:ascii="宋体" w:hAnsi="宋体"/>
        </w:rPr>
      </w:pPr>
    </w:p>
    <w:p w:rsidR="008E2B02" w:rsidRDefault="008E2B02" w:rsidP="008E2B02">
      <w:pPr>
        <w:spacing w:line="300" w:lineRule="auto"/>
        <w:rPr>
          <w:rFonts w:ascii="宋体" w:hAnsi="宋体"/>
        </w:rPr>
      </w:pPr>
    </w:p>
    <w:p w:rsidR="008E2B02" w:rsidRDefault="008E2B02" w:rsidP="008E2B02">
      <w:pPr>
        <w:widowControl/>
        <w:spacing w:line="300" w:lineRule="auto"/>
        <w:jc w:val="left"/>
        <w:rPr>
          <w:rFonts w:ascii="宋体" w:hAnsi="宋体"/>
        </w:rPr>
      </w:pPr>
      <w:r>
        <w:rPr>
          <w:rFonts w:ascii="宋体" w:hAnsi="宋体" w:hint="eastAsia"/>
          <w:kern w:val="0"/>
        </w:rPr>
        <w:br w:type="page"/>
      </w:r>
    </w:p>
    <w:p w:rsidR="008E2B02" w:rsidRDefault="008E2B02" w:rsidP="008E2B02">
      <w:pPr>
        <w:pStyle w:val="1"/>
        <w:keepNext w:val="0"/>
        <w:keepLines w:val="0"/>
        <w:tabs>
          <w:tab w:val="center" w:pos="4153"/>
          <w:tab w:val="right" w:pos="8306"/>
        </w:tabs>
        <w:adjustRightInd w:val="0"/>
        <w:snapToGrid w:val="0"/>
        <w:spacing w:before="0" w:after="0" w:line="300" w:lineRule="auto"/>
        <w:jc w:val="center"/>
        <w:rPr>
          <w:rFonts w:ascii="宋体" w:hAnsi="宋体"/>
          <w:bCs w:val="0"/>
          <w:kern w:val="0"/>
          <w:sz w:val="32"/>
          <w:szCs w:val="32"/>
        </w:rPr>
      </w:pPr>
      <w:r>
        <w:rPr>
          <w:rFonts w:ascii="宋体" w:hAnsi="宋体" w:hint="eastAsia"/>
          <w:bCs w:val="0"/>
          <w:kern w:val="0"/>
          <w:sz w:val="32"/>
          <w:szCs w:val="32"/>
        </w:rPr>
        <w:lastRenderedPageBreak/>
        <w:t>招商银行公司理财客户权益须知</w:t>
      </w:r>
    </w:p>
    <w:p w:rsidR="008E2B02" w:rsidRDefault="008E2B02" w:rsidP="008E2B02">
      <w:pPr>
        <w:spacing w:line="300" w:lineRule="auto"/>
        <w:jc w:val="center"/>
        <w:rPr>
          <w:b/>
        </w:rPr>
      </w:pPr>
      <w:r>
        <w:rPr>
          <w:rFonts w:hint="eastAsia"/>
          <w:b/>
        </w:rPr>
        <w:t>（适用于企业投资者）</w:t>
      </w:r>
    </w:p>
    <w:p w:rsidR="008E2B02" w:rsidRDefault="008E2B02" w:rsidP="008E2B02">
      <w:pPr>
        <w:spacing w:line="300" w:lineRule="auto"/>
        <w:rPr>
          <w:rFonts w:ascii="宋体" w:hAnsi="宋体"/>
          <w:szCs w:val="21"/>
        </w:rPr>
      </w:pPr>
      <w:r>
        <w:rPr>
          <w:rFonts w:ascii="宋体" w:hAnsi="宋体" w:hint="eastAsia"/>
          <w:szCs w:val="21"/>
        </w:rPr>
        <w:t>尊敬的投资者：</w:t>
      </w:r>
    </w:p>
    <w:p w:rsidR="008E2B02" w:rsidRDefault="008E2B02" w:rsidP="008E2B02">
      <w:pPr>
        <w:spacing w:line="300" w:lineRule="auto"/>
        <w:ind w:firstLineChars="200" w:firstLine="422"/>
        <w:rPr>
          <w:rFonts w:ascii="宋体" w:hAnsi="宋体"/>
          <w:b/>
          <w:szCs w:val="21"/>
        </w:rPr>
      </w:pPr>
      <w:r>
        <w:rPr>
          <w:rFonts w:ascii="宋体" w:hAnsi="宋体" w:hint="eastAsia"/>
          <w:b/>
          <w:szCs w:val="21"/>
        </w:rPr>
        <w:t>理财非存款、产品有风险、投资须谨慎。</w:t>
      </w:r>
    </w:p>
    <w:p w:rsidR="008E2B02" w:rsidRDefault="008E2B02" w:rsidP="008E2B02">
      <w:pPr>
        <w:spacing w:line="300" w:lineRule="auto"/>
        <w:ind w:firstLineChars="200" w:firstLine="420"/>
        <w:rPr>
          <w:rFonts w:ascii="宋体" w:hAnsi="宋体"/>
        </w:rPr>
      </w:pPr>
      <w:r>
        <w:rPr>
          <w:rFonts w:ascii="宋体" w:hAnsi="宋体" w:hint="eastAsia"/>
          <w:szCs w:val="21"/>
        </w:rPr>
        <w:t>银行理财产品是指商业银行在对潜在目标客户群进行分析研究的基础上，针对特定目标客户群，开发设计并销售的资金投资和管理计划。理财产品</w:t>
      </w:r>
      <w:r>
        <w:rPr>
          <w:rFonts w:ascii="宋体" w:hAnsi="宋体" w:hint="eastAsia"/>
        </w:rPr>
        <w:t>分为保证收益理财产品，保本浮动收益理财产品和非保本浮动收益理财产品三大类，请贵公司充分认识不同类型产品的投资风险，谨慎投资。</w:t>
      </w:r>
    </w:p>
    <w:p w:rsidR="008E2B02" w:rsidRDefault="008E2B02" w:rsidP="008E2B02">
      <w:pPr>
        <w:spacing w:line="300" w:lineRule="auto"/>
        <w:rPr>
          <w:rFonts w:ascii="宋体" w:hAnsi="宋体"/>
          <w:kern w:val="0"/>
        </w:rPr>
      </w:pPr>
      <w:r>
        <w:rPr>
          <w:rFonts w:ascii="宋体" w:hAnsi="宋体" w:hint="eastAsia"/>
          <w:kern w:val="0"/>
        </w:rPr>
        <w:t>为了保护贵公司的合法权益，建议：</w:t>
      </w:r>
      <w:r>
        <w:rPr>
          <w:rFonts w:ascii="宋体" w:hAnsi="宋体" w:hint="eastAsia"/>
          <w:b/>
          <w:kern w:val="0"/>
        </w:rPr>
        <w:t>首先</w:t>
      </w:r>
      <w:r>
        <w:rPr>
          <w:rFonts w:ascii="宋体" w:hAnsi="宋体" w:hint="eastAsia"/>
          <w:kern w:val="0"/>
        </w:rPr>
        <w:t>，请在投资银行理财产品前，了解贵公司的投资目标，风险偏好和产品需求。</w:t>
      </w:r>
      <w:r>
        <w:rPr>
          <w:rFonts w:ascii="宋体" w:hAnsi="宋体" w:hint="eastAsia"/>
          <w:b/>
          <w:kern w:val="0"/>
        </w:rPr>
        <w:t>其次，</w:t>
      </w:r>
      <w:r>
        <w:rPr>
          <w:rFonts w:ascii="宋体" w:hAnsi="宋体" w:hint="eastAsia"/>
          <w:kern w:val="0"/>
        </w:rPr>
        <w:t>请认真阅读银行理财产品的相关销售文件，具体为《理财产品销售协议书》、《产品说明书》、《风险揭示书》和本《客户权益须知》等，选择购买与贵公司自身风险承受能力相匹配的产品。在阅读时如有不明之处，贵公司可及时向我行理财人员进行咨询。</w:t>
      </w:r>
      <w:r>
        <w:rPr>
          <w:rFonts w:ascii="宋体" w:hAnsi="宋体" w:hint="eastAsia"/>
          <w:b/>
          <w:kern w:val="0"/>
        </w:rPr>
        <w:t>最后</w:t>
      </w:r>
      <w:r>
        <w:rPr>
          <w:rFonts w:ascii="宋体" w:hAnsi="宋体" w:hint="eastAsia"/>
          <w:kern w:val="0"/>
        </w:rPr>
        <w:t>，请关注我行对理财产品的信息披露渠道与频率以及我行相关联络方式，以便贵公司对所购买的理财产品有任何意见或建议向我行反馈。我行将以诚实守信、勤勉尽责的态度竭诚为贵公司提供专业的服务。</w:t>
      </w:r>
    </w:p>
    <w:p w:rsidR="008E2B02" w:rsidRDefault="008E2B02" w:rsidP="008E2B02">
      <w:pPr>
        <w:spacing w:line="300" w:lineRule="auto"/>
        <w:ind w:firstLineChars="200" w:firstLine="422"/>
        <w:rPr>
          <w:rStyle w:val="detail1"/>
          <w:rFonts w:ascii="宋体" w:hAnsi="宋体"/>
          <w:b/>
        </w:rPr>
      </w:pPr>
      <w:r>
        <w:rPr>
          <w:rFonts w:ascii="宋体" w:hAnsi="宋体" w:hint="eastAsia"/>
          <w:b/>
          <w:kern w:val="0"/>
        </w:rPr>
        <w:t>一、购买理</w:t>
      </w:r>
      <w:r>
        <w:rPr>
          <w:rStyle w:val="detail1"/>
          <w:rFonts w:ascii="宋体" w:hAnsi="宋体" w:hint="eastAsia"/>
          <w:b/>
        </w:rPr>
        <w:t>财产品三部曲：</w:t>
      </w:r>
    </w:p>
    <w:p w:rsidR="008E2B02" w:rsidRDefault="008E2B02" w:rsidP="008E2B02">
      <w:pPr>
        <w:spacing w:line="300" w:lineRule="auto"/>
        <w:ind w:firstLineChars="200" w:firstLine="422"/>
      </w:pPr>
      <w:r>
        <w:rPr>
          <w:rStyle w:val="detail1"/>
          <w:rFonts w:ascii="宋体" w:hAnsi="宋体" w:hint="eastAsia"/>
          <w:b/>
        </w:rPr>
        <w:t>第一步 了解贵公司的投资需求和风险承受能力</w:t>
      </w:r>
    </w:p>
    <w:p w:rsidR="008E2B02" w:rsidRDefault="008E2B02" w:rsidP="008E2B02">
      <w:pPr>
        <w:spacing w:line="300" w:lineRule="auto"/>
        <w:ind w:firstLineChars="200" w:firstLine="420"/>
        <w:rPr>
          <w:rFonts w:ascii="宋体" w:hAnsi="宋体"/>
          <w:kern w:val="0"/>
        </w:rPr>
      </w:pPr>
      <w:r>
        <w:rPr>
          <w:rFonts w:ascii="宋体" w:hAnsi="宋体" w:hint="eastAsia"/>
        </w:rPr>
        <w:t>招商银行理财产品根据投资范围、风险收益特点、流动性等不同因素，分为谨慎型（R1）、稳健型（R2）、平衡型（R3）、进取型（R4）、激进型（R5）五种不同的产品类型。我们建议贵公司根据自身</w:t>
      </w:r>
      <w:r>
        <w:rPr>
          <w:rFonts w:ascii="宋体" w:hAnsi="宋体" w:hint="eastAsia"/>
          <w:kern w:val="0"/>
        </w:rPr>
        <w:t>财务状况、投资经验、投资目的、收益预期、风险偏好、流动性要求、风险认识以及风险损失承受程度等方面，评估贵公司自身的投资需求和风险承受能力，选择适合贵公司投资需求和风险承受能力的理财产品。</w:t>
      </w:r>
    </w:p>
    <w:p w:rsidR="008E2B02" w:rsidRDefault="008E2B02" w:rsidP="008E2B02">
      <w:pPr>
        <w:spacing w:line="300" w:lineRule="auto"/>
        <w:ind w:firstLineChars="200" w:firstLine="422"/>
        <w:rPr>
          <w:rFonts w:ascii="宋体" w:hAnsi="宋体"/>
          <w:b/>
        </w:rPr>
      </w:pPr>
      <w:r>
        <w:rPr>
          <w:rFonts w:ascii="宋体" w:hAnsi="宋体" w:hint="eastAsia"/>
          <w:b/>
        </w:rPr>
        <w:t>第二步 购买您选择的理财产品</w:t>
      </w:r>
    </w:p>
    <w:p w:rsidR="008E2B02" w:rsidRDefault="008E2B02" w:rsidP="008E2B02">
      <w:pPr>
        <w:spacing w:line="300" w:lineRule="auto"/>
        <w:ind w:firstLineChars="200" w:firstLine="420"/>
        <w:rPr>
          <w:rFonts w:ascii="宋体" w:hAnsi="宋体"/>
        </w:rPr>
      </w:pPr>
      <w:r>
        <w:rPr>
          <w:rFonts w:ascii="宋体" w:hAnsi="宋体" w:hint="eastAsia"/>
        </w:rPr>
        <w:t>贵公司在选择符合自身投资需求和风险承受能力的我行银行理财产品后，可通过我行营业网点或企业网上银行（在贵公司所选择的理财产品开放企业网上银行购买渠道的情况下）购买。</w:t>
      </w:r>
    </w:p>
    <w:p w:rsidR="008E2B02" w:rsidRDefault="008E2B02" w:rsidP="008E2B02">
      <w:pPr>
        <w:pStyle w:val="2"/>
        <w:spacing w:line="300" w:lineRule="auto"/>
        <w:ind w:leftChars="0" w:left="0" w:firstLineChars="200" w:firstLine="422"/>
        <w:rPr>
          <w:rFonts w:ascii="宋体" w:hAnsi="宋体"/>
          <w:b/>
          <w:szCs w:val="21"/>
        </w:rPr>
      </w:pPr>
      <w:r>
        <w:rPr>
          <w:rFonts w:ascii="宋体" w:hAnsi="宋体" w:hint="eastAsia"/>
          <w:b/>
          <w:szCs w:val="21"/>
        </w:rPr>
        <w:t>温馨提示</w:t>
      </w:r>
      <w:r>
        <w:rPr>
          <w:rFonts w:ascii="宋体" w:hAnsi="宋体" w:hint="eastAsia"/>
          <w:szCs w:val="21"/>
        </w:rPr>
        <w:t>：请贵公司认真阅读《风险揭示书》中的风险提示部分，并充分知晓产品风险。贵公司一旦做出投资决策，产品运营过程中产生的风险，由贵公司自行承担。</w:t>
      </w:r>
    </w:p>
    <w:p w:rsidR="008E2B02" w:rsidRDefault="008E2B02" w:rsidP="008E2B02">
      <w:pPr>
        <w:pStyle w:val="2"/>
        <w:spacing w:line="300" w:lineRule="auto"/>
        <w:ind w:leftChars="0" w:left="0" w:firstLineChars="200" w:firstLine="420"/>
        <w:rPr>
          <w:rFonts w:ascii="宋体" w:hAnsi="宋体"/>
          <w:szCs w:val="21"/>
        </w:rPr>
      </w:pPr>
      <w:r>
        <w:rPr>
          <w:rFonts w:ascii="宋体" w:hAnsi="宋体" w:hint="eastAsia"/>
          <w:szCs w:val="21"/>
        </w:rPr>
        <w:t>具体认购流程如下：</w:t>
      </w:r>
    </w:p>
    <w:p w:rsidR="008E2B02" w:rsidRDefault="008E2B02" w:rsidP="008E2B02">
      <w:pPr>
        <w:spacing w:line="300" w:lineRule="auto"/>
        <w:ind w:firstLineChars="200" w:firstLine="420"/>
        <w:rPr>
          <w:rFonts w:ascii="宋体" w:hAnsi="宋体"/>
          <w:kern w:val="0"/>
        </w:rPr>
      </w:pPr>
      <w:r>
        <w:rPr>
          <w:rFonts w:ascii="宋体" w:hAnsi="宋体" w:hint="eastAsia"/>
          <w:kern w:val="0"/>
        </w:rPr>
        <w:t>（一）营业网点</w:t>
      </w:r>
    </w:p>
    <w:p w:rsidR="008E2B02" w:rsidRDefault="008E2B02" w:rsidP="008E2B02">
      <w:pPr>
        <w:spacing w:line="300" w:lineRule="auto"/>
        <w:jc w:val="center"/>
        <w:rPr>
          <w:rFonts w:ascii="宋体" w:hAnsi="宋体"/>
          <w:kern w:val="0"/>
        </w:rPr>
      </w:pPr>
      <w:r w:rsidRPr="00FF62D6">
        <w:rPr>
          <w:rFonts w:ascii="宋体" w:hAnsi="宋体" w:hint="eastAsia"/>
        </w:rPr>
        <w:object w:dxaOrig="9327" w:dyaOrig="1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95.5pt;height:76.5pt" o:ole="">
            <v:imagedata r:id="rId9" o:title=""/>
          </v:shape>
          <o:OLEObject Type="Embed" ProgID="Visio.Drawing.11" ShapeID="_x0000_i1029" DrawAspect="Content" ObjectID="_1567598148" r:id="rId10"/>
        </w:object>
      </w:r>
    </w:p>
    <w:p w:rsidR="008E2B02" w:rsidRDefault="008E2B02" w:rsidP="008E2B02">
      <w:pPr>
        <w:pStyle w:val="2"/>
        <w:spacing w:line="300" w:lineRule="auto"/>
        <w:ind w:firstLine="739"/>
        <w:jc w:val="center"/>
        <w:rPr>
          <w:rFonts w:ascii="宋体" w:hAnsi="宋体"/>
          <w:b/>
          <w:szCs w:val="21"/>
        </w:rPr>
      </w:pPr>
    </w:p>
    <w:p w:rsidR="008E2B02" w:rsidRDefault="008E2B02" w:rsidP="008E2B02">
      <w:pPr>
        <w:spacing w:line="300" w:lineRule="auto"/>
        <w:ind w:firstLineChars="200" w:firstLine="420"/>
        <w:rPr>
          <w:rFonts w:ascii="宋体" w:hAnsi="宋体"/>
        </w:rPr>
      </w:pPr>
      <w:r>
        <w:rPr>
          <w:rFonts w:ascii="宋体" w:hAnsi="宋体" w:hint="eastAsia"/>
        </w:rPr>
        <w:t>（二）企业“网上银行”</w:t>
      </w:r>
    </w:p>
    <w:p w:rsidR="008E2B02" w:rsidRDefault="008E2B02" w:rsidP="008E2B02">
      <w:pPr>
        <w:spacing w:line="300" w:lineRule="auto"/>
        <w:rPr>
          <w:rFonts w:ascii="宋体" w:hAnsi="宋体"/>
          <w:kern w:val="0"/>
        </w:rPr>
      </w:pPr>
      <w:r w:rsidRPr="00FF62D6">
        <w:rPr>
          <w:rFonts w:ascii="宋体" w:hAnsi="宋体" w:hint="eastAsia"/>
        </w:rPr>
        <w:object w:dxaOrig="11593" w:dyaOrig="5177">
          <v:shape id="_x0000_i1030" type="#_x0000_t75" style="width:414pt;height:185pt" o:ole="">
            <v:imagedata r:id="rId11" o:title=""/>
          </v:shape>
          <o:OLEObject Type="Embed" ProgID="Visio.Drawing.11" ShapeID="_x0000_i1030" DrawAspect="Content" ObjectID="_1567598149" r:id="rId12"/>
        </w:object>
      </w:r>
    </w:p>
    <w:p w:rsidR="008E2B02" w:rsidRDefault="008E2B02" w:rsidP="008E2B02">
      <w:pPr>
        <w:spacing w:line="300" w:lineRule="auto"/>
        <w:ind w:firstLineChars="200" w:firstLine="422"/>
        <w:rPr>
          <w:rFonts w:ascii="宋体" w:hAnsi="宋体"/>
          <w:b/>
          <w:kern w:val="0"/>
        </w:rPr>
      </w:pPr>
      <w:r>
        <w:rPr>
          <w:rFonts w:ascii="宋体" w:hAnsi="宋体" w:hint="eastAsia"/>
          <w:b/>
          <w:kern w:val="0"/>
        </w:rPr>
        <w:t>第三步 了解理财产品的信息披露方式、渠道和频率</w:t>
      </w:r>
    </w:p>
    <w:p w:rsidR="008E2B02" w:rsidRDefault="008E2B02" w:rsidP="008E2B02">
      <w:pPr>
        <w:spacing w:line="300" w:lineRule="auto"/>
        <w:rPr>
          <w:rFonts w:ascii="宋体" w:hAnsi="宋体"/>
          <w:kern w:val="0"/>
        </w:rPr>
      </w:pPr>
      <w:r>
        <w:rPr>
          <w:rFonts w:ascii="宋体" w:hAnsi="宋体" w:hint="eastAsia"/>
          <w:kern w:val="0"/>
        </w:rPr>
        <w:t>有关产品相关信息的披露方式、渠道和频率，贵公司可根据《产品说明书》中所载明的“信息公告”约定，及时登录招商银行网站或致电招商银行全国统一客户服务热线（95555）或到招商银行营业网点进行查询。</w:t>
      </w:r>
    </w:p>
    <w:p w:rsidR="008E2B02" w:rsidRDefault="008E2B02" w:rsidP="008E2B02">
      <w:pPr>
        <w:spacing w:line="300" w:lineRule="auto"/>
        <w:ind w:firstLine="413"/>
        <w:rPr>
          <w:rFonts w:ascii="宋体" w:hAnsi="宋体"/>
          <w:b/>
          <w:kern w:val="0"/>
        </w:rPr>
      </w:pPr>
      <w:r>
        <w:rPr>
          <w:rFonts w:ascii="宋体" w:hAnsi="宋体" w:hint="eastAsia"/>
          <w:b/>
          <w:kern w:val="0"/>
        </w:rPr>
        <w:t>二、客户对银行理财产品的投诉方式和程序</w:t>
      </w:r>
    </w:p>
    <w:p w:rsidR="008E2B02" w:rsidRDefault="008E2B02" w:rsidP="008E2B02">
      <w:pPr>
        <w:spacing w:line="300" w:lineRule="auto"/>
        <w:rPr>
          <w:rFonts w:ascii="宋体" w:hAnsi="宋体"/>
          <w:kern w:val="0"/>
        </w:rPr>
      </w:pPr>
      <w:r>
        <w:rPr>
          <w:rFonts w:ascii="宋体" w:hAnsi="宋体" w:hint="eastAsia"/>
          <w:kern w:val="0"/>
        </w:rPr>
        <w:t>如贵公司对所购买的理财计划有任何意见或建议，请联系招商银行的理财经理或反馈至招商银行各营业网点，也可致电招商银行全国统一客户服务热线（95555）。我行将及时受理并给予答复。</w:t>
      </w:r>
    </w:p>
    <w:p w:rsidR="008E2B02" w:rsidRDefault="008E2B02" w:rsidP="008E2B02">
      <w:pPr>
        <w:spacing w:line="300" w:lineRule="auto"/>
        <w:ind w:firstLine="413"/>
        <w:rPr>
          <w:rFonts w:ascii="宋体" w:hAnsi="宋体"/>
          <w:b/>
          <w:kern w:val="0"/>
        </w:rPr>
      </w:pPr>
      <w:r>
        <w:rPr>
          <w:rFonts w:ascii="宋体" w:hAnsi="宋体" w:hint="eastAsia"/>
          <w:b/>
          <w:kern w:val="0"/>
        </w:rPr>
        <w:t>三、招商银行联络方式</w:t>
      </w:r>
    </w:p>
    <w:p w:rsidR="008E2B02" w:rsidRDefault="008E2B02" w:rsidP="008E2B02">
      <w:pPr>
        <w:spacing w:line="300" w:lineRule="auto"/>
        <w:ind w:firstLineChars="200" w:firstLine="420"/>
        <w:rPr>
          <w:rFonts w:ascii="宋体" w:hAnsi="宋体"/>
          <w:kern w:val="0"/>
        </w:rPr>
      </w:pPr>
      <w:r>
        <w:rPr>
          <w:rFonts w:ascii="宋体" w:hAnsi="宋体" w:hint="eastAsia"/>
          <w:kern w:val="0"/>
        </w:rPr>
        <w:t>（一）全国统一客户服务热线：95555。</w:t>
      </w:r>
    </w:p>
    <w:p w:rsidR="008E2B02" w:rsidRDefault="008E2B02" w:rsidP="008E2B02">
      <w:pPr>
        <w:spacing w:line="300" w:lineRule="auto"/>
        <w:ind w:firstLineChars="200" w:firstLine="420"/>
        <w:rPr>
          <w:rFonts w:ascii="宋体" w:hAnsi="宋体"/>
          <w:kern w:val="0"/>
        </w:rPr>
      </w:pPr>
      <w:r>
        <w:rPr>
          <w:rFonts w:ascii="宋体" w:hAnsi="宋体" w:hint="eastAsia"/>
          <w:kern w:val="0"/>
        </w:rPr>
        <w:t>（二）境外服务热线：86-755-84391000  86-755-84391999。</w:t>
      </w:r>
    </w:p>
    <w:p w:rsidR="008E2B02" w:rsidRDefault="008E2B02" w:rsidP="008E2B02">
      <w:pPr>
        <w:spacing w:line="300" w:lineRule="auto"/>
        <w:ind w:firstLineChars="200" w:firstLine="420"/>
        <w:rPr>
          <w:rFonts w:ascii="宋体" w:hAnsi="宋体"/>
          <w:kern w:val="0"/>
        </w:rPr>
      </w:pPr>
      <w:r>
        <w:rPr>
          <w:rFonts w:ascii="宋体" w:hAnsi="宋体" w:hint="eastAsia"/>
          <w:kern w:val="0"/>
        </w:rPr>
        <w:t>（三）“一网通”网站：</w:t>
      </w:r>
      <w:hyperlink r:id="rId13" w:history="1">
        <w:r>
          <w:rPr>
            <w:rStyle w:val="a7"/>
            <w:rFonts w:ascii="宋体" w:hAnsi="宋体" w:hint="eastAsia"/>
            <w:kern w:val="0"/>
          </w:rPr>
          <w:t>www.cmbchina.com</w:t>
        </w:r>
      </w:hyperlink>
    </w:p>
    <w:p w:rsidR="008E2B02" w:rsidRDefault="008E2B02" w:rsidP="008E2B02">
      <w:pPr>
        <w:spacing w:line="300" w:lineRule="auto"/>
        <w:rPr>
          <w:rFonts w:ascii="宋体" w:hAnsi="宋体"/>
          <w:kern w:val="0"/>
        </w:rPr>
      </w:pPr>
    </w:p>
    <w:p w:rsidR="008E2B02" w:rsidRDefault="008E2B02" w:rsidP="008E2B02">
      <w:pPr>
        <w:spacing w:line="300" w:lineRule="auto"/>
        <w:ind w:firstLineChars="2800" w:firstLine="5880"/>
        <w:rPr>
          <w:rFonts w:ascii="宋体" w:hAnsi="宋体"/>
          <w:kern w:val="0"/>
        </w:rPr>
      </w:pPr>
      <w:r>
        <w:rPr>
          <w:rFonts w:ascii="宋体" w:hAnsi="宋体" w:hint="eastAsia"/>
          <w:kern w:val="0"/>
        </w:rPr>
        <w:t>招商银行股份有限公司</w:t>
      </w:r>
    </w:p>
    <w:p w:rsidR="008E2B02" w:rsidRDefault="008E2B02" w:rsidP="008E2B02">
      <w:pPr>
        <w:widowControl/>
        <w:jc w:val="left"/>
        <w:rPr>
          <w:rFonts w:asciiTheme="minorEastAsia" w:eastAsiaTheme="minorEastAsia" w:hAnsiTheme="minorEastAsia"/>
          <w:sz w:val="22"/>
          <w:szCs w:val="22"/>
        </w:rPr>
      </w:pPr>
      <w:r>
        <w:rPr>
          <w:rFonts w:asciiTheme="minorEastAsia" w:eastAsiaTheme="minorEastAsia" w:hAnsiTheme="minorEastAsia" w:hint="eastAsia"/>
          <w:kern w:val="0"/>
          <w:sz w:val="22"/>
          <w:szCs w:val="22"/>
        </w:rPr>
        <w:br w:type="page"/>
      </w:r>
    </w:p>
    <w:p w:rsidR="008E2B02" w:rsidRDefault="008E2B02" w:rsidP="008E2B02">
      <w:pPr>
        <w:jc w:val="center"/>
        <w:rPr>
          <w:b/>
          <w:sz w:val="32"/>
        </w:rPr>
      </w:pPr>
      <w:r>
        <w:rPr>
          <w:rFonts w:hint="eastAsia"/>
          <w:b/>
          <w:sz w:val="32"/>
        </w:rPr>
        <w:lastRenderedPageBreak/>
        <w:t>招商银行同业理财客户权益须知</w:t>
      </w:r>
    </w:p>
    <w:p w:rsidR="008E2B02" w:rsidRDefault="008E2B02" w:rsidP="008E2B02">
      <w:pPr>
        <w:jc w:val="center"/>
        <w:rPr>
          <w:rFonts w:ascii="宋体" w:hAnsi="宋体"/>
          <w:b/>
        </w:rPr>
      </w:pPr>
      <w:r>
        <w:rPr>
          <w:rFonts w:ascii="宋体" w:hAnsi="宋体" w:hint="eastAsia"/>
          <w:b/>
        </w:rPr>
        <w:t>（同业客户自有资金认购适用）</w:t>
      </w:r>
    </w:p>
    <w:p w:rsidR="008E2B02" w:rsidRDefault="008E2B02" w:rsidP="008E2B02">
      <w:pPr>
        <w:spacing w:line="300" w:lineRule="auto"/>
        <w:rPr>
          <w:rFonts w:ascii="宋体" w:hAnsi="宋体"/>
          <w:szCs w:val="21"/>
        </w:rPr>
      </w:pPr>
      <w:r>
        <w:rPr>
          <w:rFonts w:ascii="宋体" w:hAnsi="宋体" w:hint="eastAsia"/>
          <w:szCs w:val="21"/>
        </w:rPr>
        <w:t>尊敬的投资者：</w:t>
      </w:r>
    </w:p>
    <w:p w:rsidR="008E2B02" w:rsidRDefault="008E2B02" w:rsidP="008E2B02">
      <w:pPr>
        <w:spacing w:line="300" w:lineRule="auto"/>
        <w:ind w:firstLineChars="200" w:firstLine="422"/>
        <w:rPr>
          <w:rFonts w:ascii="宋体" w:hAnsi="宋体"/>
          <w:b/>
          <w:szCs w:val="21"/>
        </w:rPr>
      </w:pPr>
      <w:r>
        <w:rPr>
          <w:rFonts w:ascii="宋体" w:hAnsi="宋体" w:hint="eastAsia"/>
          <w:b/>
          <w:szCs w:val="21"/>
        </w:rPr>
        <w:t>理财非存款、产品有风险、投资须谨慎。</w:t>
      </w:r>
    </w:p>
    <w:p w:rsidR="008E2B02" w:rsidRDefault="008E2B02" w:rsidP="008E2B02">
      <w:pPr>
        <w:spacing w:line="300" w:lineRule="auto"/>
        <w:ind w:firstLineChars="200" w:firstLine="420"/>
        <w:rPr>
          <w:rFonts w:ascii="宋体" w:hAnsi="宋体"/>
        </w:rPr>
      </w:pPr>
      <w:r>
        <w:rPr>
          <w:rFonts w:ascii="宋体" w:hAnsi="宋体" w:hint="eastAsia"/>
          <w:szCs w:val="21"/>
        </w:rPr>
        <w:t>银行理财产品是指商业银行在对潜在目标客户群进行分析研究的基础上，针对特定目标客户群，开发设计并销售的资金投资和管理计划。理财产品</w:t>
      </w:r>
      <w:r>
        <w:rPr>
          <w:rFonts w:ascii="宋体" w:hAnsi="宋体" w:hint="eastAsia"/>
        </w:rPr>
        <w:t>分为保证收益理财产品，保本浮动收益理财产品和非保本浮动收益理财产品三大类，请贵司充分认识不同类型产品的投资风险，谨慎投资。</w:t>
      </w:r>
    </w:p>
    <w:p w:rsidR="008E2B02" w:rsidRDefault="008E2B02" w:rsidP="008E2B02">
      <w:pPr>
        <w:spacing w:line="300" w:lineRule="auto"/>
        <w:ind w:firstLineChars="200" w:firstLine="420"/>
        <w:rPr>
          <w:rFonts w:ascii="宋体" w:hAnsi="宋体"/>
          <w:kern w:val="0"/>
        </w:rPr>
      </w:pPr>
      <w:r>
        <w:rPr>
          <w:rFonts w:ascii="宋体" w:hAnsi="宋体" w:hint="eastAsia"/>
          <w:kern w:val="0"/>
        </w:rPr>
        <w:t>为了保护您的合法权益，建议：</w:t>
      </w:r>
      <w:r>
        <w:rPr>
          <w:rFonts w:ascii="宋体" w:hAnsi="宋体" w:hint="eastAsia"/>
          <w:b/>
          <w:kern w:val="0"/>
        </w:rPr>
        <w:t>首先，</w:t>
      </w:r>
      <w:r>
        <w:rPr>
          <w:rFonts w:ascii="宋体" w:hAnsi="宋体" w:hint="eastAsia"/>
          <w:kern w:val="0"/>
        </w:rPr>
        <w:t>请贵司在投资银行理财产品前，了解贵司的投资目标，风险偏好和产品需求。</w:t>
      </w:r>
      <w:r>
        <w:rPr>
          <w:rFonts w:ascii="宋体" w:hAnsi="宋体" w:hint="eastAsia"/>
          <w:b/>
          <w:kern w:val="0"/>
        </w:rPr>
        <w:t>其次，</w:t>
      </w:r>
      <w:r>
        <w:rPr>
          <w:rFonts w:ascii="宋体" w:hAnsi="宋体" w:hint="eastAsia"/>
          <w:kern w:val="0"/>
        </w:rPr>
        <w:t>请认真阅读银行理财产品的相关销售文件，具体为《风险揭示书》、《产品说明书》、《理财产品销售协议书》和本《客户权益须知》等，选择购买与贵司风险承受能力相匹配的产品。您在阅读时如有不明之处，可及时向我行理财人员进行咨询。</w:t>
      </w:r>
      <w:r>
        <w:rPr>
          <w:rFonts w:ascii="宋体" w:hAnsi="宋体" w:hint="eastAsia"/>
          <w:b/>
          <w:kern w:val="0"/>
        </w:rPr>
        <w:t>最后</w:t>
      </w:r>
      <w:r>
        <w:rPr>
          <w:rFonts w:ascii="宋体" w:hAnsi="宋体" w:hint="eastAsia"/>
          <w:kern w:val="0"/>
        </w:rPr>
        <w:t>，请关注我行对理财产品的信息披露渠道与频率以及我行相关联络方式，以便贵司对所购买的理财产品有任何意见或建议时向我行反馈。我行将以诚实守信、勤勉尽责的态度竭诚为您提供专业的服务。</w:t>
      </w:r>
    </w:p>
    <w:p w:rsidR="008E2B02" w:rsidRDefault="008E2B02" w:rsidP="008E2B02">
      <w:pPr>
        <w:spacing w:line="300" w:lineRule="auto"/>
        <w:ind w:firstLineChars="200" w:firstLine="422"/>
        <w:rPr>
          <w:rStyle w:val="detail1"/>
          <w:rFonts w:ascii="宋体" w:hAnsi="宋体" w:cs="Arial"/>
          <w:b/>
          <w:u w:val="single"/>
        </w:rPr>
      </w:pPr>
      <w:r>
        <w:rPr>
          <w:rStyle w:val="detail1"/>
          <w:rFonts w:ascii="宋体" w:hAnsi="宋体" w:hint="eastAsia"/>
          <w:b/>
          <w:u w:val="single"/>
        </w:rPr>
        <w:t>一、购买理财产品三歩曲</w:t>
      </w:r>
    </w:p>
    <w:p w:rsidR="008E2B02" w:rsidRDefault="008E2B02" w:rsidP="008E2B02">
      <w:pPr>
        <w:spacing w:line="300" w:lineRule="auto"/>
      </w:pPr>
      <w:r>
        <w:rPr>
          <w:rStyle w:val="detail1"/>
          <w:rFonts w:ascii="宋体" w:hAnsi="宋体" w:hint="eastAsia"/>
          <w:b/>
        </w:rPr>
        <w:t>第一步  了解贵司的投资需求和风险承受能力</w:t>
      </w:r>
    </w:p>
    <w:p w:rsidR="008E2B02" w:rsidRDefault="008E2B02" w:rsidP="008E2B02">
      <w:pPr>
        <w:adjustRightInd w:val="0"/>
        <w:snapToGrid w:val="0"/>
        <w:spacing w:line="300" w:lineRule="auto"/>
        <w:ind w:firstLineChars="200" w:firstLine="420"/>
        <w:rPr>
          <w:rFonts w:ascii="宋体" w:hAnsi="宋体"/>
          <w:kern w:val="0"/>
        </w:rPr>
      </w:pPr>
      <w:r>
        <w:rPr>
          <w:rFonts w:ascii="宋体" w:hAnsi="宋体" w:hint="eastAsia"/>
        </w:rPr>
        <w:t>根据银行理财产品投资范围、风险收益特点、流动性等不同因素，我行将理财产品风险由低到高分为R1（谨慎型）、R2（稳健型）、R3（平衡型）、R4（进取型）、R5（激进型）五个级别。建议贵司根据自身</w:t>
      </w:r>
      <w:r>
        <w:rPr>
          <w:rFonts w:ascii="宋体" w:hAnsi="宋体" w:hint="eastAsia"/>
          <w:kern w:val="0"/>
        </w:rPr>
        <w:t>财务状况、投资经验、投资目的、收益预期、风险偏好、流动性要求、风险认识以及风险损失承受程度等方面，评估贵司自身的投资需求和风险承受能力，选择适合贵司投资需求和风险承受能力的理财产品。</w:t>
      </w:r>
    </w:p>
    <w:p w:rsidR="008E2B02" w:rsidRDefault="008E2B02" w:rsidP="008E2B02">
      <w:pPr>
        <w:spacing w:line="300" w:lineRule="auto"/>
        <w:rPr>
          <w:rFonts w:ascii="宋体" w:hAnsi="宋体"/>
          <w:b/>
        </w:rPr>
      </w:pPr>
      <w:r>
        <w:rPr>
          <w:rFonts w:ascii="宋体" w:hAnsi="宋体" w:hint="eastAsia"/>
          <w:b/>
        </w:rPr>
        <w:t>第二步  购买您选择的理财产品</w:t>
      </w:r>
    </w:p>
    <w:p w:rsidR="008E2B02" w:rsidRDefault="008E2B02" w:rsidP="008E2B02">
      <w:pPr>
        <w:spacing w:line="300" w:lineRule="auto"/>
        <w:ind w:firstLineChars="200" w:firstLine="420"/>
        <w:rPr>
          <w:rFonts w:ascii="宋体" w:hAnsi="宋体"/>
          <w:szCs w:val="21"/>
        </w:rPr>
      </w:pPr>
      <w:r>
        <w:rPr>
          <w:rFonts w:ascii="宋体" w:hAnsi="宋体" w:hint="eastAsia"/>
        </w:rPr>
        <w:t>贵司在选择符合自身投资需求和风险承受能力的我行银行理财产品后，可通过我行营业网点或企业网上银行（在贵司所选择的理财产品开放网上银行购买渠道的情况下）购买。</w:t>
      </w:r>
      <w:r>
        <w:rPr>
          <w:rFonts w:ascii="宋体" w:hAnsi="宋体" w:hint="eastAsia"/>
          <w:szCs w:val="21"/>
        </w:rPr>
        <w:t>具体认购流程如下：</w:t>
      </w:r>
    </w:p>
    <w:p w:rsidR="008E2B02" w:rsidRDefault="00962CEB" w:rsidP="008E2B02">
      <w:pPr>
        <w:spacing w:line="300" w:lineRule="auto"/>
        <w:rPr>
          <w:rFonts w:ascii="宋体" w:hAnsi="宋体"/>
          <w:kern w:val="0"/>
        </w:rPr>
      </w:pPr>
      <w:r>
        <w:pict>
          <v:shape id="AutoShape 96" o:spid="_x0000_s1106" type="#_x0000_t32" style="position:absolute;left:0;text-align:left;margin-left:335.25pt;margin-top:47.85pt;width:20.25pt;height:0;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">
            <v:stroke endarrow="block"/>
          </v:shape>
        </w:pict>
      </w:r>
      <w:r>
        <w:pict>
          <v:shape id="AutoShape 97" o:spid="_x0000_s1107" type="#_x0000_t32" style="position:absolute;left:0;text-align:left;margin-left:227.25pt;margin-top:47.85pt;width:20.25pt;height:0;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">
            <v:stroke endarrow="block"/>
          </v:shape>
        </w:pict>
      </w:r>
      <w:r>
        <w:pict>
          <v:shape id="AutoShape 98" o:spid="_x0000_s1108" type="#_x0000_t32" style="position:absolute;left:0;text-align:left;margin-left:117.75pt;margin-top:47.85pt;width:20.25pt;height:0;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">
            <v:stroke endarrow="block"/>
          </v:shape>
        </w:pict>
      </w:r>
      <w:r w:rsidR="008E2B02">
        <w:rPr>
          <w:rFonts w:hint="eastAsia"/>
          <w:noProof/>
        </w:rPr>
        <w:drawing>
          <wp:anchor distT="0" distB="0" distL="114300" distR="114300" simplePos="0" relativeHeight="251651584" behindDoc="0" locked="0" layoutInCell="1" allowOverlap="1">
            <wp:simplePos x="0" y="0"/>
            <wp:positionH relativeFrom="column">
              <wp:posOffset>-385445</wp:posOffset>
            </wp:positionH>
            <wp:positionV relativeFrom="paragraph">
              <wp:posOffset>320040</wp:posOffset>
            </wp:positionV>
            <wp:extent cx="6108065" cy="1432560"/>
            <wp:effectExtent l="19050" t="0" r="6985" b="0"/>
            <wp:wrapSquare wrapText="bothSides"/>
            <wp:docPr id="80" name="图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示 4"/>
                    <pic:cNvPicPr>
                      <a:picLocks noChangeAspect="1" noChangeArrowheads="1"/>
                    </pic:cNvPicPr>
                  </pic:nvPicPr>
                  <pic:blipFill>
                    <a:blip r:embed="rId14"/>
                    <a:srcRect/>
                    <a:stretch>
                      <a:fillRect/>
                    </a:stretch>
                  </pic:blipFill>
                  <pic:spPr bwMode="auto">
                    <a:xfrm>
                      <a:off x="0" y="0"/>
                      <a:ext cx="6108065" cy="1432560"/>
                    </a:xfrm>
                    <a:prstGeom prst="rect">
                      <a:avLst/>
                    </a:prstGeom>
                    <a:noFill/>
                  </pic:spPr>
                </pic:pic>
              </a:graphicData>
            </a:graphic>
          </wp:anchor>
        </w:drawing>
      </w:r>
      <w:r w:rsidR="008E2B02">
        <w:rPr>
          <w:rFonts w:ascii="宋体" w:hAnsi="宋体" w:hint="eastAsia"/>
          <w:kern w:val="0"/>
        </w:rPr>
        <w:t>（一）营业网点</w:t>
      </w:r>
    </w:p>
    <w:p w:rsidR="008E2B02" w:rsidRDefault="008E2B02" w:rsidP="008E2B02">
      <w:pPr>
        <w:spacing w:line="300" w:lineRule="auto"/>
        <w:rPr>
          <w:rFonts w:ascii="宋体" w:hAnsi="宋体"/>
          <w:kern w:val="0"/>
        </w:rPr>
      </w:pPr>
    </w:p>
    <w:p w:rsidR="008E2B02" w:rsidRDefault="008E2B02" w:rsidP="008E2B02">
      <w:pPr>
        <w:pStyle w:val="2"/>
        <w:spacing w:line="300" w:lineRule="auto"/>
        <w:ind w:leftChars="0" w:left="0" w:firstLineChars="200" w:firstLine="422"/>
        <w:rPr>
          <w:rFonts w:ascii="宋体" w:hAnsi="宋体"/>
          <w:szCs w:val="21"/>
        </w:rPr>
      </w:pPr>
      <w:r>
        <w:rPr>
          <w:rFonts w:ascii="宋体" w:hAnsi="宋体" w:hint="eastAsia"/>
          <w:b/>
          <w:szCs w:val="21"/>
        </w:rPr>
        <w:t>温馨提示</w:t>
      </w:r>
      <w:r>
        <w:rPr>
          <w:rFonts w:ascii="宋体" w:hAnsi="宋体" w:hint="eastAsia"/>
          <w:szCs w:val="21"/>
        </w:rPr>
        <w:t>：请贵司认真阅读《风险揭示书》中的风险提示部分，并充分知晓产品风险，自愿购买我行理财产品，贵司一旦作出投资决策，产品运营过程中产生的投资揭示风险，由</w:t>
      </w:r>
      <w:r>
        <w:rPr>
          <w:rFonts w:ascii="宋体" w:hAnsi="宋体" w:hint="eastAsia"/>
          <w:szCs w:val="21"/>
        </w:rPr>
        <w:lastRenderedPageBreak/>
        <w:t>贵司自行承担。</w:t>
      </w:r>
    </w:p>
    <w:p w:rsidR="008E2B02" w:rsidRDefault="00962CEB" w:rsidP="008E2B02">
      <w:pPr>
        <w:spacing w:line="300" w:lineRule="auto"/>
        <w:rPr>
          <w:rFonts w:ascii="宋体" w:hAnsi="宋体"/>
        </w:rPr>
      </w:pPr>
      <w:r>
        <w:pict>
          <v:shape id="AutoShape 99" o:spid="_x0000_s1109" type="#_x0000_t32" style="position:absolute;left:0;text-align:left;margin-left:90.75pt;margin-top:55.1pt;width:12.75pt;height:0;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">
            <v:stroke endarrow="block"/>
          </v:shape>
        </w:pict>
      </w: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0" o:spid="_x0000_s1110" type="#_x0000_t34" style="position:absolute;left:0;text-align:left;margin-left:307.5pt;margin-top:55.1pt;width:18pt;height:.0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">
            <v:stroke endarrow="block"/>
          </v:shape>
        </w:pict>
      </w:r>
      <w:r>
        <w:pict>
          <v:shape id="AutoShape 101" o:spid="_x0000_s1111" type="#_x0000_t32" style="position:absolute;left:0;text-align:left;margin-left:200.25pt;margin-top:55.1pt;width:12.75pt;height:0;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">
            <v:stroke endarrow="block"/>
          </v:shape>
        </w:pict>
      </w:r>
      <w:r w:rsidR="008E2B02">
        <w:rPr>
          <w:rFonts w:hint="eastAsia"/>
          <w:noProof/>
        </w:rPr>
        <w:drawing>
          <wp:anchor distT="0" distB="0" distL="114300" distR="193675" simplePos="0" relativeHeight="251652608" behindDoc="0" locked="0" layoutInCell="1" allowOverlap="1">
            <wp:simplePos x="0" y="0"/>
            <wp:positionH relativeFrom="column">
              <wp:posOffset>-101600</wp:posOffset>
            </wp:positionH>
            <wp:positionV relativeFrom="paragraph">
              <wp:posOffset>392430</wp:posOffset>
            </wp:positionV>
            <wp:extent cx="5498465" cy="3542030"/>
            <wp:effectExtent l="19050" t="0" r="6985" b="0"/>
            <wp:wrapSquare wrapText="bothSides"/>
            <wp:docPr id="8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srcRect/>
                    <a:stretch>
                      <a:fillRect/>
                    </a:stretch>
                  </pic:blipFill>
                  <pic:spPr bwMode="auto">
                    <a:xfrm>
                      <a:off x="0" y="0"/>
                      <a:ext cx="5498465" cy="3542030"/>
                    </a:xfrm>
                    <a:prstGeom prst="rect">
                      <a:avLst/>
                    </a:prstGeom>
                    <a:noFill/>
                  </pic:spPr>
                </pic:pic>
              </a:graphicData>
            </a:graphic>
          </wp:anchor>
        </w:drawing>
      </w:r>
      <w:r w:rsidR="008E2B02">
        <w:rPr>
          <w:rFonts w:ascii="宋体" w:hAnsi="宋体" w:hint="eastAsia"/>
        </w:rPr>
        <w:t>（二）网上银行</w:t>
      </w:r>
    </w:p>
    <w:p w:rsidR="008E2B02" w:rsidRDefault="008E2B02" w:rsidP="008E2B02">
      <w:pPr>
        <w:spacing w:line="300" w:lineRule="auto"/>
        <w:ind w:firstLineChars="200" w:firstLine="422"/>
        <w:rPr>
          <w:rFonts w:ascii="宋体" w:hAnsi="宋体"/>
          <w:b/>
          <w:kern w:val="0"/>
        </w:rPr>
      </w:pPr>
      <w:r>
        <w:rPr>
          <w:rFonts w:ascii="宋体" w:hAnsi="宋体" w:hint="eastAsia"/>
          <w:b/>
          <w:kern w:val="0"/>
        </w:rPr>
        <w:t>第三步  了解理财产品的信息披露方式、渠道和频率</w:t>
      </w:r>
    </w:p>
    <w:p w:rsidR="008E2B02" w:rsidRDefault="008E2B02" w:rsidP="008E2B02">
      <w:pPr>
        <w:spacing w:line="300" w:lineRule="auto"/>
        <w:rPr>
          <w:rFonts w:ascii="宋体" w:hAnsi="宋体"/>
          <w:kern w:val="0"/>
        </w:rPr>
      </w:pPr>
      <w:r>
        <w:rPr>
          <w:rFonts w:ascii="宋体" w:hAnsi="宋体" w:hint="eastAsia"/>
          <w:kern w:val="0"/>
        </w:rPr>
        <w:t>有关产品相关信息的披露方式、渠道和频率，您可根据《产品说明书》中所载明的“信息公告”约定，及时登录招商银行网站或致电招商银行全国统一客户服务热线（95555）或到招商银行营业网点进行查询。</w:t>
      </w:r>
    </w:p>
    <w:p w:rsidR="008E2B02" w:rsidRDefault="008E2B02" w:rsidP="008E2B02">
      <w:pPr>
        <w:spacing w:line="300" w:lineRule="auto"/>
        <w:ind w:firstLine="413"/>
        <w:rPr>
          <w:rFonts w:ascii="宋体" w:hAnsi="宋体"/>
          <w:b/>
          <w:kern w:val="0"/>
          <w:u w:val="single"/>
        </w:rPr>
      </w:pPr>
      <w:r>
        <w:rPr>
          <w:rFonts w:ascii="宋体" w:hAnsi="宋体" w:hint="eastAsia"/>
          <w:b/>
          <w:kern w:val="0"/>
          <w:u w:val="single"/>
        </w:rPr>
        <w:t>二、客户对银行理财产品的投诉方式和程序</w:t>
      </w:r>
    </w:p>
    <w:p w:rsidR="008E2B02" w:rsidRDefault="008E2B02" w:rsidP="008E2B02">
      <w:pPr>
        <w:spacing w:line="300" w:lineRule="auto"/>
        <w:rPr>
          <w:rFonts w:ascii="宋体" w:hAnsi="宋体"/>
          <w:kern w:val="0"/>
        </w:rPr>
      </w:pPr>
      <w:r>
        <w:rPr>
          <w:rFonts w:ascii="宋体" w:hAnsi="宋体" w:hint="eastAsia"/>
          <w:kern w:val="0"/>
        </w:rPr>
        <w:t xml:space="preserve">如您对所购买的理财计划有任何意见或建议，请联系招商银行的理财经理或反馈至招商银行各营业网点，也可致电招商银行全国统一客户服务热线（95555）。我行将及时受理并给予答复。 </w:t>
      </w:r>
    </w:p>
    <w:p w:rsidR="008E2B02" w:rsidRDefault="008E2B02" w:rsidP="008E2B02">
      <w:pPr>
        <w:spacing w:line="300" w:lineRule="auto"/>
        <w:ind w:firstLine="413"/>
        <w:rPr>
          <w:rFonts w:ascii="宋体" w:hAnsi="宋体"/>
          <w:b/>
          <w:kern w:val="0"/>
          <w:u w:val="single"/>
        </w:rPr>
      </w:pPr>
      <w:r>
        <w:rPr>
          <w:rFonts w:ascii="宋体" w:hAnsi="宋体" w:hint="eastAsia"/>
          <w:b/>
          <w:kern w:val="0"/>
          <w:u w:val="single"/>
        </w:rPr>
        <w:t>三、招商银行联络方式</w:t>
      </w:r>
    </w:p>
    <w:p w:rsidR="008E2B02" w:rsidRDefault="008E2B02" w:rsidP="008E2B02">
      <w:pPr>
        <w:spacing w:line="300" w:lineRule="auto"/>
        <w:rPr>
          <w:rFonts w:ascii="宋体" w:hAnsi="宋体"/>
          <w:kern w:val="0"/>
        </w:rPr>
      </w:pPr>
      <w:r>
        <w:rPr>
          <w:rFonts w:ascii="宋体" w:hAnsi="宋体" w:hint="eastAsia"/>
          <w:kern w:val="0"/>
        </w:rPr>
        <w:t>（一）全国统一客户服务热线：95555。</w:t>
      </w:r>
    </w:p>
    <w:p w:rsidR="008E2B02" w:rsidRDefault="008E2B02" w:rsidP="008E2B02">
      <w:pPr>
        <w:spacing w:line="300" w:lineRule="auto"/>
        <w:rPr>
          <w:rFonts w:ascii="宋体" w:hAnsi="宋体"/>
          <w:kern w:val="0"/>
        </w:rPr>
      </w:pPr>
      <w:r>
        <w:rPr>
          <w:rFonts w:ascii="宋体" w:hAnsi="宋体" w:hint="eastAsia"/>
          <w:kern w:val="0"/>
        </w:rPr>
        <w:t>（二）境外服务热线：86-755-84391000  86-755-84391999。</w:t>
      </w:r>
    </w:p>
    <w:p w:rsidR="008E2B02" w:rsidRDefault="008E2B02" w:rsidP="008E2B02">
      <w:pPr>
        <w:spacing w:line="300" w:lineRule="auto"/>
        <w:rPr>
          <w:rFonts w:ascii="宋体" w:hAnsi="宋体"/>
          <w:kern w:val="0"/>
        </w:rPr>
      </w:pPr>
      <w:r>
        <w:rPr>
          <w:rFonts w:ascii="宋体" w:hAnsi="宋体" w:hint="eastAsia"/>
          <w:kern w:val="0"/>
        </w:rPr>
        <w:t>（三）“一网通”网站：</w:t>
      </w:r>
      <w:hyperlink r:id="rId16" w:history="1">
        <w:r>
          <w:rPr>
            <w:rStyle w:val="a7"/>
            <w:rFonts w:ascii="宋体" w:hAnsi="宋体" w:hint="eastAsia"/>
            <w:kern w:val="0"/>
          </w:rPr>
          <w:t>www.cmbchina.com</w:t>
        </w:r>
      </w:hyperlink>
    </w:p>
    <w:p w:rsidR="008E2B02" w:rsidRDefault="008E2B02" w:rsidP="008E2B02">
      <w:pPr>
        <w:spacing w:line="300" w:lineRule="auto"/>
        <w:rPr>
          <w:rFonts w:ascii="宋体" w:hAnsi="宋体"/>
          <w:kern w:val="0"/>
        </w:rPr>
      </w:pPr>
    </w:p>
    <w:p w:rsidR="008E2B02" w:rsidRDefault="008E2B02" w:rsidP="008E2B02">
      <w:pPr>
        <w:adjustRightInd w:val="0"/>
        <w:snapToGrid w:val="0"/>
        <w:spacing w:line="300" w:lineRule="auto"/>
        <w:jc w:val="right"/>
        <w:rPr>
          <w:rFonts w:asciiTheme="minorEastAsia" w:eastAsiaTheme="minorEastAsia" w:hAnsiTheme="minorEastAsia"/>
          <w:sz w:val="22"/>
          <w:szCs w:val="22"/>
        </w:rPr>
      </w:pPr>
      <w:r>
        <w:rPr>
          <w:rFonts w:ascii="宋体" w:hAnsi="宋体" w:hint="eastAsia"/>
          <w:kern w:val="0"/>
        </w:rPr>
        <w:t>招商银行股份有限公司</w:t>
      </w:r>
    </w:p>
    <w:p w:rsidR="008E2B02" w:rsidRDefault="008E2B02" w:rsidP="008E2B02">
      <w:pPr>
        <w:adjustRightInd w:val="0"/>
        <w:snapToGrid w:val="0"/>
        <w:spacing w:line="300" w:lineRule="auto"/>
        <w:rPr>
          <w:rFonts w:asciiTheme="minorEastAsia" w:eastAsiaTheme="minorEastAsia" w:hAnsiTheme="minorEastAsia"/>
          <w:sz w:val="22"/>
          <w:szCs w:val="22"/>
        </w:rPr>
      </w:pPr>
    </w:p>
    <w:p w:rsidR="00D038B2" w:rsidRDefault="00D038B2"/>
    <w:sectPr w:rsidR="00D038B2" w:rsidSect="00D03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CEB" w:rsidRDefault="00962CEB" w:rsidP="008E2B02">
      <w:r>
        <w:separator/>
      </w:r>
    </w:p>
  </w:endnote>
  <w:endnote w:type="continuationSeparator" w:id="0">
    <w:p w:rsidR="00962CEB" w:rsidRDefault="00962CEB" w:rsidP="008E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CEB" w:rsidRDefault="00962CEB" w:rsidP="008E2B02">
      <w:r>
        <w:separator/>
      </w:r>
    </w:p>
  </w:footnote>
  <w:footnote w:type="continuationSeparator" w:id="0">
    <w:p w:rsidR="00962CEB" w:rsidRDefault="00962CEB" w:rsidP="008E2B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7614"/>
    <w:multiLevelType w:val="hybridMultilevel"/>
    <w:tmpl w:val="B7E6924C"/>
    <w:lvl w:ilvl="0" w:tplc="ECCAC25A">
      <w:start w:val="1"/>
      <w:numFmt w:val="decimal"/>
      <w:lvlText w:val="%1."/>
      <w:lvlJc w:val="left"/>
      <w:pPr>
        <w:ind w:left="4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7C0A6B"/>
    <w:multiLevelType w:val="hybridMultilevel"/>
    <w:tmpl w:val="B7E6924C"/>
    <w:lvl w:ilvl="0" w:tplc="ECCAC25A">
      <w:start w:val="1"/>
      <w:numFmt w:val="decimal"/>
      <w:lvlText w:val="%1."/>
      <w:lvlJc w:val="left"/>
      <w:pPr>
        <w:ind w:left="4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A8D0D46"/>
    <w:multiLevelType w:val="hybridMultilevel"/>
    <w:tmpl w:val="51303810"/>
    <w:lvl w:ilvl="0" w:tplc="C1F6B61E">
      <w:start w:val="1"/>
      <w:numFmt w:val="japaneseCounting"/>
      <w:lvlText w:val="（%1）"/>
      <w:lvlJc w:val="left"/>
      <w:pPr>
        <w:ind w:left="1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73C263F"/>
    <w:multiLevelType w:val="hybridMultilevel"/>
    <w:tmpl w:val="F782ECA4"/>
    <w:lvl w:ilvl="0" w:tplc="779AAB16">
      <w:start w:val="1"/>
      <w:numFmt w:val="decimal"/>
      <w:lvlText w:val="%1."/>
      <w:lvlJc w:val="left"/>
      <w:pPr>
        <w:ind w:left="315" w:hanging="3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0342A4"/>
    <w:multiLevelType w:val="hybridMultilevel"/>
    <w:tmpl w:val="9F7CD1DA"/>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2B02"/>
    <w:rsid w:val="00016E59"/>
    <w:rsid w:val="00031845"/>
    <w:rsid w:val="0055663E"/>
    <w:rsid w:val="008067E6"/>
    <w:rsid w:val="0087773F"/>
    <w:rsid w:val="008877DD"/>
    <w:rsid w:val="008E2B02"/>
    <w:rsid w:val="00962CEB"/>
    <w:rsid w:val="00A7265A"/>
    <w:rsid w:val="00A77A3C"/>
    <w:rsid w:val="00CF7C97"/>
    <w:rsid w:val="00D038B2"/>
    <w:rsid w:val="00FF6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96"/>
        <o:r id="V:Rule2" type="connector" idref="#AutoShape 13"/>
        <o:r id="V:Rule3" type="connector" idref="#AutoShape 63"/>
        <o:r id="V:Rule4" type="connector" idref="#AutoShape 18"/>
        <o:r id="V:Rule5" type="connector" idref="#AutoShape 50"/>
        <o:r id="V:Rule6" type="connector" idref="#AutoShape 21"/>
        <o:r id="V:Rule7" type="connector" idref="#AutoShape 38"/>
        <o:r id="V:Rule8" type="connector" idref="#AutoShape 79"/>
        <o:r id="V:Rule9" type="connector" idref="#AutoShape 16"/>
        <o:r id="V:Rule10" type="connector" idref="#AutoShape 36"/>
        <o:r id="V:Rule11" type="connector" idref="#AutoShape 60"/>
        <o:r id="V:Rule12" type="connector" idref="#AutoShape 15"/>
        <o:r id="V:Rule13" type="connector" idref="#AutoShape 43"/>
        <o:r id="V:Rule14" type="connector" idref="#AutoShape 73"/>
        <o:r id="V:Rule15" type="connector" idref="#AutoShape 98"/>
        <o:r id="V:Rule16" type="connector" idref="#AutoShape 35"/>
        <o:r id="V:Rule17" type="connector" idref="#AutoShape 20"/>
        <o:r id="V:Rule18" type="connector" idref="#AutoShape 34"/>
        <o:r id="V:Rule19" type="connector" idref="#AutoShape 17"/>
        <o:r id="V:Rule20" type="connector" idref="#AutoShape 24"/>
        <o:r id="V:Rule21" type="connector" idref="#AutoShape 70"/>
        <o:r id="V:Rule22" type="connector" idref="#AutoShape 39"/>
        <o:r id="V:Rule23" type="connector" idref="#AutoShape 25"/>
        <o:r id="V:Rule24" type="connector" idref="#AutoShape 22"/>
        <o:r id="V:Rule25" type="connector" idref="#AutoShape 62"/>
        <o:r id="V:Rule26" type="connector" idref="#AutoShape 40"/>
        <o:r id="V:Rule27" type="connector" idref="#AutoShape 99"/>
        <o:r id="V:Rule28" type="connector" idref="#AutoShape 19"/>
        <o:r id="V:Rule29" type="connector" idref="#AutoShape 74"/>
        <o:r id="V:Rule30" type="connector" idref="#AutoShape 71"/>
        <o:r id="V:Rule31" type="connector" idref="#AutoShape 97"/>
        <o:r id="V:Rule32" type="connector" idref="#AutoShape 75"/>
        <o:r id="V:Rule33" type="connector" idref="#AutoShape 48"/>
        <o:r id="V:Rule34" type="connector" idref="#AutoShape 101"/>
        <o:r id="V:Rule35" type="connector" idref="#AutoShape 100"/>
        <o:r id="V:Rule36" type="connector" idref="#AutoShape 41"/>
        <o:r id="V:Rule37" type="connector" idref="#AutoShape 61"/>
        <o:r id="V:Rule38" type="connector" idref="#AutoShape 14"/>
        <o:r id="V:Rule39" type="connector" idref="#AutoShape 72"/>
        <o:r id="V:Rule40" type="connector" idref="#AutoShape 49"/>
        <o:r id="V:Rule41" type="connector" idref="#AutoShape 37"/>
      </o:rules>
    </o:shapelayout>
  </w:shapeDefaults>
  <w:decimalSymbol w:val="."/>
  <w:listSeparator w:val=","/>
  <w14:docId w14:val="3CB1D0BF"/>
  <w15:docId w15:val="{9846461D-646A-4FA2-941F-551A7740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B02"/>
    <w:pPr>
      <w:widowControl w:val="0"/>
      <w:jc w:val="both"/>
    </w:pPr>
    <w:rPr>
      <w:rFonts w:ascii="Times New Roman" w:eastAsia="宋体" w:hAnsi="Times New Roman" w:cs="Times New Roman"/>
      <w:szCs w:val="24"/>
    </w:rPr>
  </w:style>
  <w:style w:type="paragraph" w:styleId="1">
    <w:name w:val="heading 1"/>
    <w:basedOn w:val="a"/>
    <w:next w:val="a"/>
    <w:link w:val="10"/>
    <w:qFormat/>
    <w:rsid w:val="008E2B0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B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2B02"/>
    <w:rPr>
      <w:sz w:val="18"/>
      <w:szCs w:val="18"/>
    </w:rPr>
  </w:style>
  <w:style w:type="paragraph" w:styleId="a5">
    <w:name w:val="footer"/>
    <w:basedOn w:val="a"/>
    <w:link w:val="a6"/>
    <w:uiPriority w:val="99"/>
    <w:unhideWhenUsed/>
    <w:rsid w:val="008E2B02"/>
    <w:pPr>
      <w:tabs>
        <w:tab w:val="center" w:pos="4153"/>
        <w:tab w:val="right" w:pos="8306"/>
      </w:tabs>
      <w:snapToGrid w:val="0"/>
      <w:jc w:val="left"/>
    </w:pPr>
    <w:rPr>
      <w:sz w:val="18"/>
      <w:szCs w:val="18"/>
    </w:rPr>
  </w:style>
  <w:style w:type="character" w:customStyle="1" w:styleId="a6">
    <w:name w:val="页脚 字符"/>
    <w:basedOn w:val="a0"/>
    <w:link w:val="a5"/>
    <w:uiPriority w:val="99"/>
    <w:rsid w:val="008E2B02"/>
    <w:rPr>
      <w:sz w:val="18"/>
      <w:szCs w:val="18"/>
    </w:rPr>
  </w:style>
  <w:style w:type="character" w:customStyle="1" w:styleId="10">
    <w:name w:val="标题 1 字符"/>
    <w:basedOn w:val="a0"/>
    <w:link w:val="1"/>
    <w:rsid w:val="008E2B02"/>
    <w:rPr>
      <w:rFonts w:ascii="Times New Roman" w:eastAsia="宋体" w:hAnsi="Times New Roman" w:cs="Times New Roman"/>
      <w:b/>
      <w:bCs/>
      <w:kern w:val="44"/>
      <w:sz w:val="44"/>
      <w:szCs w:val="44"/>
    </w:rPr>
  </w:style>
  <w:style w:type="character" w:styleId="a7">
    <w:name w:val="Hyperlink"/>
    <w:basedOn w:val="a0"/>
    <w:semiHidden/>
    <w:unhideWhenUsed/>
    <w:rsid w:val="008E2B02"/>
    <w:rPr>
      <w:strike w:val="0"/>
      <w:dstrike w:val="0"/>
      <w:color w:val="000000"/>
      <w:u w:val="none"/>
      <w:effect w:val="none"/>
    </w:rPr>
  </w:style>
  <w:style w:type="paragraph" w:styleId="a8">
    <w:name w:val="annotation text"/>
    <w:basedOn w:val="a"/>
    <w:link w:val="a9"/>
    <w:semiHidden/>
    <w:unhideWhenUsed/>
    <w:rsid w:val="008E2B02"/>
    <w:pPr>
      <w:jc w:val="left"/>
    </w:pPr>
  </w:style>
  <w:style w:type="character" w:customStyle="1" w:styleId="a9">
    <w:name w:val="批注文字 字符"/>
    <w:basedOn w:val="a0"/>
    <w:link w:val="a8"/>
    <w:semiHidden/>
    <w:rsid w:val="008E2B02"/>
    <w:rPr>
      <w:rFonts w:ascii="Times New Roman" w:eastAsia="宋体" w:hAnsi="Times New Roman" w:cs="Times New Roman"/>
      <w:szCs w:val="24"/>
    </w:rPr>
  </w:style>
  <w:style w:type="paragraph" w:styleId="2">
    <w:name w:val="Body Text Indent 2"/>
    <w:basedOn w:val="a"/>
    <w:link w:val="20"/>
    <w:uiPriority w:val="99"/>
    <w:semiHidden/>
    <w:unhideWhenUsed/>
    <w:rsid w:val="008E2B02"/>
    <w:pPr>
      <w:spacing w:after="120" w:line="480" w:lineRule="auto"/>
      <w:ind w:leftChars="200" w:left="420"/>
    </w:pPr>
  </w:style>
  <w:style w:type="character" w:customStyle="1" w:styleId="20">
    <w:name w:val="正文文本缩进 2 字符"/>
    <w:basedOn w:val="a0"/>
    <w:link w:val="2"/>
    <w:uiPriority w:val="99"/>
    <w:semiHidden/>
    <w:rsid w:val="008E2B02"/>
    <w:rPr>
      <w:rFonts w:ascii="Times New Roman" w:eastAsia="宋体" w:hAnsi="Times New Roman" w:cs="Times New Roman"/>
      <w:szCs w:val="24"/>
    </w:rPr>
  </w:style>
  <w:style w:type="paragraph" w:styleId="aa">
    <w:name w:val="List Paragraph"/>
    <w:basedOn w:val="a"/>
    <w:uiPriority w:val="34"/>
    <w:qFormat/>
    <w:rsid w:val="008E2B02"/>
    <w:pPr>
      <w:ind w:firstLineChars="200" w:firstLine="420"/>
    </w:pPr>
  </w:style>
  <w:style w:type="paragraph" w:customStyle="1" w:styleId="Default">
    <w:name w:val="Default"/>
    <w:rsid w:val="008E2B02"/>
    <w:pPr>
      <w:widowControl w:val="0"/>
      <w:autoSpaceDE w:val="0"/>
      <w:autoSpaceDN w:val="0"/>
      <w:adjustRightInd w:val="0"/>
    </w:pPr>
    <w:rPr>
      <w:rFonts w:ascii="宋体" w:eastAsia="宋体" w:cs="宋体"/>
      <w:color w:val="000000"/>
      <w:kern w:val="0"/>
      <w:sz w:val="24"/>
      <w:szCs w:val="24"/>
    </w:rPr>
  </w:style>
  <w:style w:type="character" w:customStyle="1" w:styleId="detail1">
    <w:name w:val="detail1"/>
    <w:basedOn w:val="a0"/>
    <w:rsid w:val="008E2B02"/>
    <w:rPr>
      <w:rFonts w:ascii="ˎ̥" w:hAnsi="ˎ̥" w:hint="default"/>
      <w:strike w:val="0"/>
      <w:dstrike w:val="0"/>
      <w:sz w:val="21"/>
      <w:szCs w:val="21"/>
      <w:u w:val="none"/>
      <w:effect w:val="none"/>
    </w:rPr>
  </w:style>
  <w:style w:type="table" w:styleId="ab">
    <w:name w:val="Table Grid"/>
    <w:basedOn w:val="a1"/>
    <w:uiPriority w:val="59"/>
    <w:rsid w:val="008E2B02"/>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8E2B02"/>
    <w:rPr>
      <w:sz w:val="18"/>
      <w:szCs w:val="18"/>
    </w:rPr>
  </w:style>
  <w:style w:type="character" w:customStyle="1" w:styleId="ad">
    <w:name w:val="批注框文本 字符"/>
    <w:basedOn w:val="a0"/>
    <w:link w:val="ac"/>
    <w:uiPriority w:val="99"/>
    <w:semiHidden/>
    <w:rsid w:val="008E2B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bchina.com" TargetMode="External"/><Relationship Id="rId13" Type="http://schemas.openxmlformats.org/officeDocument/2006/relationships/hyperlink" Target="http://www.cmbchin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Visio_2003-2010___1.vsd"/><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mbchin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Microsoft_Visio_2003-2010___.vsd"/><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2639</Words>
  <Characters>15048</Characters>
  <Application>Microsoft Office Word</Application>
  <DocSecurity>0</DocSecurity>
  <Lines>125</Lines>
  <Paragraphs>35</Paragraphs>
  <ScaleCrop>false</ScaleCrop>
  <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王启明/01103515</dc:creator>
  <cp:keywords/>
  <dc:description/>
  <cp:lastModifiedBy>【 Cam】</cp:lastModifiedBy>
  <cp:revision>7</cp:revision>
  <dcterms:created xsi:type="dcterms:W3CDTF">2017-08-17T09:15:00Z</dcterms:created>
  <dcterms:modified xsi:type="dcterms:W3CDTF">2017-09-22T07:08:00Z</dcterms:modified>
</cp:coreProperties>
</file>