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DA" w:rsidRPr="00981DDA" w:rsidRDefault="00981DDA" w:rsidP="00981DDA">
      <w:pPr>
        <w:jc w:val="left"/>
        <w:rPr>
          <w:rFonts w:ascii="宋体" w:hAnsi="宋体" w:cs="Arial"/>
          <w:b/>
          <w:sz w:val="24"/>
        </w:rPr>
      </w:pPr>
      <w:r w:rsidRPr="00981DDA">
        <w:rPr>
          <w:rFonts w:hint="eastAsia"/>
          <w:b/>
          <w:color w:val="000000"/>
          <w:sz w:val="18"/>
          <w:szCs w:val="18"/>
        </w:rPr>
        <w:t>产品登记编码：</w:t>
      </w:r>
      <w:r w:rsidRPr="00981DDA">
        <w:rPr>
          <w:rFonts w:hint="eastAsia"/>
          <w:b/>
          <w:color w:val="000000"/>
          <w:sz w:val="18"/>
          <w:szCs w:val="18"/>
        </w:rPr>
        <w:t>C1030812001070</w:t>
      </w:r>
    </w:p>
    <w:p w:rsidR="008319DB" w:rsidRPr="00981DDA" w:rsidRDefault="000D0DF8">
      <w:pPr>
        <w:jc w:val="center"/>
        <w:rPr>
          <w:rFonts w:ascii="宋体" w:hAnsi="宋体" w:cs="Arial"/>
          <w:b/>
          <w:sz w:val="24"/>
        </w:rPr>
      </w:pPr>
      <w:r w:rsidRPr="00981DDA">
        <w:rPr>
          <w:rFonts w:ascii="宋体" w:hAnsi="宋体" w:cs="Arial"/>
          <w:b/>
          <w:sz w:val="24"/>
        </w:rPr>
        <w:t>招商银行“金葵花”——招银进宝系列</w:t>
      </w:r>
      <w:r w:rsidRPr="00981DDA">
        <w:rPr>
          <w:rFonts w:ascii="宋体" w:hAnsi="宋体" w:cs="Arial" w:hint="eastAsia"/>
          <w:b/>
          <w:sz w:val="24"/>
        </w:rPr>
        <w:t>之“</w:t>
      </w:r>
      <w:r w:rsidRPr="00981DDA">
        <w:rPr>
          <w:rFonts w:ascii="宋体" w:hAnsi="宋体" w:cs="Arial"/>
          <w:b/>
          <w:sz w:val="24"/>
        </w:rPr>
        <w:t>朝招金</w:t>
      </w:r>
      <w:r w:rsidRPr="00981DDA">
        <w:rPr>
          <w:rFonts w:ascii="宋体" w:hAnsi="宋体" w:cs="Arial" w:hint="eastAsia"/>
          <w:b/>
          <w:sz w:val="24"/>
        </w:rPr>
        <w:t>”（多元进取型）</w:t>
      </w:r>
      <w:r w:rsidRPr="00981DDA">
        <w:rPr>
          <w:rFonts w:ascii="宋体" w:hAnsi="宋体" w:cs="Arial"/>
          <w:b/>
          <w:sz w:val="24"/>
        </w:rPr>
        <w:t>理财计划</w:t>
      </w:r>
    </w:p>
    <w:p w:rsidR="008319DB" w:rsidRPr="00981DDA" w:rsidRDefault="000D0DF8">
      <w:pPr>
        <w:jc w:val="center"/>
        <w:rPr>
          <w:rFonts w:ascii="宋体" w:hAnsi="宋体" w:cs="Arial"/>
          <w:b/>
          <w:sz w:val="22"/>
        </w:rPr>
      </w:pPr>
      <w:r w:rsidRPr="00981DDA">
        <w:rPr>
          <w:rFonts w:ascii="宋体" w:hAnsi="宋体" w:cs="Arial"/>
          <w:b/>
          <w:sz w:val="24"/>
        </w:rPr>
        <w:t>风险</w:t>
      </w:r>
      <w:r w:rsidRPr="00981DDA">
        <w:rPr>
          <w:rFonts w:ascii="宋体" w:hAnsi="宋体" w:cs="Arial" w:hint="eastAsia"/>
          <w:b/>
          <w:sz w:val="24"/>
        </w:rPr>
        <w:t>揭</w:t>
      </w:r>
      <w:r w:rsidRPr="00981DDA">
        <w:rPr>
          <w:rFonts w:ascii="宋体" w:hAnsi="宋体" w:cs="Arial"/>
          <w:b/>
          <w:sz w:val="24"/>
        </w:rPr>
        <w:t>示书</w:t>
      </w:r>
    </w:p>
    <w:p w:rsidR="008319DB" w:rsidRDefault="008319DB">
      <w:pPr>
        <w:spacing w:line="288" w:lineRule="auto"/>
        <w:rPr>
          <w:rFonts w:ascii="宋体" w:hAnsi="宋体" w:cs="Arial"/>
          <w:sz w:val="24"/>
        </w:rPr>
      </w:pPr>
    </w:p>
    <w:p w:rsidR="008319DB" w:rsidRDefault="000D0DF8">
      <w:pPr>
        <w:spacing w:line="288" w:lineRule="auto"/>
        <w:rPr>
          <w:rFonts w:ascii="宋体" w:hAnsi="宋体" w:cs="Arial"/>
          <w:sz w:val="24"/>
        </w:rPr>
      </w:pPr>
      <w:r>
        <w:rPr>
          <w:rFonts w:ascii="宋体" w:hAnsi="宋体" w:cs="Arial"/>
          <w:sz w:val="24"/>
        </w:rPr>
        <w:t>尊敬的客户：</w:t>
      </w:r>
    </w:p>
    <w:p w:rsidR="008319DB" w:rsidRDefault="000D0DF8">
      <w:pPr>
        <w:pStyle w:val="a7"/>
        <w:rPr>
          <w:rFonts w:ascii="宋体" w:hAnsi="宋体" w:cs="Arial"/>
        </w:rPr>
      </w:pPr>
      <w:r>
        <w:rPr>
          <w:rFonts w:ascii="宋体" w:hAnsi="宋体" w:cs="Arial"/>
        </w:rPr>
        <w:t>由于理财资金管理运用过程中，可能会面临多种风险因素，因此，根据中国银行业监督管理委员会相关监管规定的要求，在您选择购买本理财产品前，请仔细阅读以下重要内容：</w:t>
      </w:r>
    </w:p>
    <w:p w:rsidR="008319DB" w:rsidRDefault="000D0DF8">
      <w:pPr>
        <w:widowControl/>
        <w:spacing w:line="288" w:lineRule="auto"/>
        <w:ind w:firstLineChars="200" w:firstLine="482"/>
        <w:jc w:val="left"/>
        <w:rPr>
          <w:rFonts w:ascii="宋体" w:hAnsi="宋体" w:cs="Arial"/>
          <w:b/>
          <w:bCs/>
          <w:sz w:val="24"/>
        </w:rPr>
      </w:pPr>
      <w:r>
        <w:rPr>
          <w:rFonts w:ascii="宋体" w:hAnsi="宋体" w:cs="Arial" w:hint="eastAsia"/>
          <w:b/>
          <w:bCs/>
          <w:sz w:val="24"/>
        </w:rPr>
        <w:t>理财非存款、产品有风险、投资须谨慎，投资者应充分认识以下风险：</w:t>
      </w:r>
    </w:p>
    <w:p w:rsidR="008319DB" w:rsidRDefault="000D0DF8">
      <w:pPr>
        <w:numPr>
          <w:ilvl w:val="0"/>
          <w:numId w:val="1"/>
        </w:numPr>
        <w:rPr>
          <w:rFonts w:ascii="宋体" w:hAnsi="宋体" w:cs="Arial"/>
          <w:b/>
          <w:bCs/>
          <w:sz w:val="24"/>
        </w:rPr>
      </w:pPr>
      <w:r>
        <w:rPr>
          <w:rFonts w:ascii="宋体" w:hAnsi="宋体" w:cs="Arial" w:hint="eastAsia"/>
          <w:b/>
          <w:bCs/>
          <w:sz w:val="24"/>
        </w:rPr>
        <w:t>本金及理财收益风险：本理财计划不保障本金及理财收益。</w:t>
      </w:r>
      <w:r w:rsidR="00127D41" w:rsidRPr="00127D41">
        <w:rPr>
          <w:rFonts w:ascii="宋体" w:hAnsi="宋体" w:cs="Arial" w:hint="eastAsia"/>
          <w:b/>
          <w:bCs/>
          <w:sz w:val="24"/>
        </w:rPr>
        <w:t>本理财计划不保证本金的偿付，但本金风险相对较小，收益浮动相对可控，您的本金可能会因市场变动而蒙受重大损失，您应充分认识投资风险，谨慎投资。</w:t>
      </w:r>
      <w:r>
        <w:rPr>
          <w:rFonts w:ascii="宋体" w:hAnsi="宋体" w:cs="Arial" w:hint="eastAsia"/>
          <w:b/>
          <w:bCs/>
          <w:sz w:val="24"/>
        </w:rPr>
        <w:t>本理财计划</w:t>
      </w:r>
      <w:r>
        <w:rPr>
          <w:rFonts w:ascii="宋体" w:hAnsi="宋体" w:cs="Arial"/>
          <w:b/>
          <w:bCs/>
          <w:sz w:val="24"/>
        </w:rPr>
        <w:t>理财收益来源于本理财计划项下投资组合的回报，容易受到市场的变化、所投资组合的运作情况以及投资管理方投资能力的影响，在最不利的情况下，本理财计划有可能损失全部本金，则由此产生的本金和理财收益不确定的风险由投资者自行承担。</w:t>
      </w:r>
    </w:p>
    <w:p w:rsidR="008319DB" w:rsidRDefault="000D0DF8">
      <w:pPr>
        <w:numPr>
          <w:ilvl w:val="0"/>
          <w:numId w:val="1"/>
        </w:numPr>
        <w:rPr>
          <w:rFonts w:ascii="宋体" w:hAnsi="宋体" w:cs="Arial"/>
          <w:b/>
          <w:bCs/>
          <w:sz w:val="24"/>
        </w:rPr>
      </w:pPr>
      <w:r>
        <w:rPr>
          <w:rFonts w:ascii="宋体" w:hAnsi="宋体" w:cs="Arial" w:hint="eastAsia"/>
          <w:b/>
          <w:bCs/>
          <w:sz w:val="24"/>
        </w:rPr>
        <w:t>管理人</w:t>
      </w:r>
      <w:r>
        <w:rPr>
          <w:rFonts w:ascii="宋体" w:hAnsi="宋体" w:cs="Arial"/>
          <w:b/>
          <w:bCs/>
          <w:sz w:val="24"/>
        </w:rPr>
        <w:t>风险：由于投资管理人受经验、技能等因素的限制，会影响本理财计划项下投资的回报率，可能导致本计划项下的投资收益低于预期甚至出现本金亏损</w:t>
      </w:r>
    </w:p>
    <w:p w:rsidR="008319DB" w:rsidRDefault="000D0DF8">
      <w:pPr>
        <w:numPr>
          <w:ilvl w:val="0"/>
          <w:numId w:val="1"/>
        </w:numPr>
        <w:rPr>
          <w:rFonts w:ascii="宋体" w:hAnsi="宋体" w:cs="Arial"/>
          <w:b/>
          <w:bCs/>
          <w:sz w:val="24"/>
        </w:rPr>
      </w:pPr>
      <w:r>
        <w:rPr>
          <w:rFonts w:ascii="宋体" w:hAnsi="宋体" w:cs="Arial"/>
          <w:b/>
          <w:bCs/>
          <w:sz w:val="24"/>
        </w:rPr>
        <w:t>政策风险：本理财计划是针对当前的相关法规和政策设计的。如国家宏观政策以及市场相关法规政策发生变化，可能影响理财计划的受理、投资、偿还等的正常进行，导致本理财计划收益降低甚至本金损失。</w:t>
      </w:r>
    </w:p>
    <w:p w:rsidR="008319DB" w:rsidRDefault="000D0DF8">
      <w:pPr>
        <w:numPr>
          <w:ilvl w:val="0"/>
          <w:numId w:val="1"/>
        </w:numPr>
        <w:rPr>
          <w:rFonts w:ascii="宋体" w:hAnsi="宋体" w:cs="Arial"/>
          <w:b/>
          <w:bCs/>
          <w:sz w:val="24"/>
        </w:rPr>
      </w:pPr>
      <w:r>
        <w:rPr>
          <w:rFonts w:ascii="宋体" w:hAnsi="宋体" w:cs="Arial"/>
          <w:b/>
          <w:kern w:val="0"/>
          <w:sz w:val="24"/>
        </w:rPr>
        <w:t>延期风险：如因理财计划所投资的资产变现等原因造成理财计划不能按时返还投资者款项，理财期限将相应延长。</w:t>
      </w:r>
    </w:p>
    <w:p w:rsidR="008319DB" w:rsidRDefault="000D0DF8">
      <w:pPr>
        <w:numPr>
          <w:ilvl w:val="0"/>
          <w:numId w:val="1"/>
        </w:numPr>
        <w:rPr>
          <w:rFonts w:ascii="宋体" w:hAnsi="宋体" w:cs="Arial"/>
          <w:b/>
          <w:bCs/>
          <w:sz w:val="24"/>
        </w:rPr>
      </w:pPr>
      <w:r>
        <w:rPr>
          <w:rFonts w:ascii="宋体" w:hAnsi="宋体" w:cs="Arial"/>
          <w:b/>
          <w:bCs/>
          <w:sz w:val="24"/>
        </w:rPr>
        <w:t>流动性风险：在本理财计划存续期内，投资者只能在本产品说明书规定的</w:t>
      </w:r>
      <w:r>
        <w:rPr>
          <w:rFonts w:ascii="宋体" w:hAnsi="宋体" w:cs="Arial" w:hint="eastAsia"/>
          <w:b/>
          <w:bCs/>
          <w:sz w:val="24"/>
        </w:rPr>
        <w:t>申购、</w:t>
      </w:r>
      <w:r>
        <w:rPr>
          <w:rFonts w:ascii="宋体" w:hAnsi="宋体" w:cs="Arial"/>
          <w:b/>
          <w:bCs/>
          <w:sz w:val="24"/>
        </w:rPr>
        <w:t>赎回</w:t>
      </w:r>
      <w:r>
        <w:rPr>
          <w:rFonts w:ascii="宋体" w:hAnsi="宋体" w:cs="Arial" w:hint="eastAsia"/>
          <w:b/>
          <w:bCs/>
          <w:sz w:val="24"/>
        </w:rPr>
        <w:t>的交易日</w:t>
      </w:r>
      <w:r>
        <w:rPr>
          <w:rFonts w:ascii="宋体" w:hAnsi="宋体" w:cs="Arial"/>
          <w:b/>
          <w:bCs/>
          <w:sz w:val="24"/>
        </w:rPr>
        <w:t>内办理赎回，除此</w:t>
      </w:r>
      <w:r>
        <w:rPr>
          <w:rFonts w:ascii="宋体" w:hAnsi="宋体" w:cs="Arial" w:hint="eastAsia"/>
          <w:b/>
          <w:bCs/>
          <w:sz w:val="24"/>
        </w:rPr>
        <w:t>交易日</w:t>
      </w:r>
      <w:r>
        <w:rPr>
          <w:rFonts w:ascii="宋体" w:hAnsi="宋体" w:cs="Arial"/>
          <w:b/>
          <w:bCs/>
          <w:sz w:val="24"/>
        </w:rPr>
        <w:t>外，在本理财计划存续期内不享有赎回权利。此外，在理财计划存续期内任一</w:t>
      </w:r>
      <w:r>
        <w:rPr>
          <w:rFonts w:ascii="宋体" w:hAnsi="宋体" w:cs="Arial" w:hint="eastAsia"/>
          <w:b/>
          <w:bCs/>
          <w:sz w:val="24"/>
        </w:rPr>
        <w:t>申购、赎回的</w:t>
      </w:r>
      <w:r>
        <w:rPr>
          <w:rFonts w:ascii="宋体" w:hAnsi="宋体" w:cs="Arial"/>
          <w:b/>
          <w:bCs/>
          <w:sz w:val="24"/>
        </w:rPr>
        <w:t>交易日，若理财计划赎回额超过本理财计划上一工作日份额的</w:t>
      </w:r>
      <w:r>
        <w:rPr>
          <w:rFonts w:ascii="宋体" w:hAnsi="宋体" w:cs="Arial" w:hint="eastAsia"/>
          <w:b/>
          <w:bCs/>
          <w:sz w:val="24"/>
        </w:rPr>
        <w:t>1</w:t>
      </w:r>
      <w:r>
        <w:rPr>
          <w:rFonts w:ascii="宋体" w:hAnsi="宋体" w:cs="Arial"/>
          <w:b/>
          <w:bCs/>
          <w:sz w:val="24"/>
        </w:rPr>
        <w:t>0%时，即为发生大额赎回，此时招商银行有权拒绝超额部分的赎回申请，可能影响投资者的资金安排，带来流动性风险。</w:t>
      </w:r>
    </w:p>
    <w:p w:rsidR="008319DB" w:rsidRDefault="000D0DF8">
      <w:pPr>
        <w:numPr>
          <w:ilvl w:val="0"/>
          <w:numId w:val="1"/>
        </w:numPr>
        <w:rPr>
          <w:rFonts w:ascii="宋体" w:hAnsi="宋体" w:cs="Arial"/>
          <w:b/>
          <w:bCs/>
          <w:sz w:val="24"/>
        </w:rPr>
      </w:pPr>
      <w:r>
        <w:rPr>
          <w:rFonts w:ascii="宋体" w:hAnsi="宋体" w:cs="Arial"/>
          <w:b/>
          <w:kern w:val="0"/>
          <w:sz w:val="24"/>
        </w:rPr>
        <w:t>再投资风险：如果招商银行在特定情况下提前终止理财，则该理财计划的实际理财期可能小于预定期限，投资者将无法实现期初预期的全部收益。</w:t>
      </w:r>
    </w:p>
    <w:p w:rsidR="008319DB" w:rsidRDefault="000D0DF8">
      <w:pPr>
        <w:numPr>
          <w:ilvl w:val="0"/>
          <w:numId w:val="1"/>
        </w:numPr>
        <w:rPr>
          <w:rFonts w:ascii="宋体" w:hAnsi="宋体" w:cs="Arial"/>
          <w:b/>
          <w:bCs/>
          <w:sz w:val="24"/>
        </w:rPr>
      </w:pPr>
      <w:r>
        <w:rPr>
          <w:rFonts w:ascii="宋体" w:hAnsi="宋体" w:cs="Arial"/>
          <w:b/>
          <w:bCs/>
          <w:sz w:val="24"/>
        </w:rPr>
        <w:t>信息传递风险：</w:t>
      </w:r>
      <w:r>
        <w:rPr>
          <w:rFonts w:ascii="宋体" w:hAnsi="宋体" w:cs="Arial" w:hint="eastAsia"/>
          <w:b/>
          <w:kern w:val="0"/>
          <w:sz w:val="24"/>
        </w:rPr>
        <w:t>本理财计划存续期内不提供估值，不提供账单，投资者应根据本理财计划说明书所载明的公告方式及时查询本理财计划的相关信息。招商银行按照本说明书有关</w:t>
      </w:r>
      <w:r>
        <w:rPr>
          <w:rFonts w:ascii="宋体" w:hAnsi="宋体" w:cs="Arial"/>
          <w:b/>
          <w:kern w:val="0"/>
          <w:sz w:val="24"/>
        </w:rPr>
        <w:t>“</w:t>
      </w:r>
      <w:r>
        <w:rPr>
          <w:rFonts w:ascii="宋体" w:hAnsi="宋体" w:cs="Arial" w:hint="eastAsia"/>
          <w:b/>
          <w:kern w:val="0"/>
          <w:sz w:val="24"/>
        </w:rPr>
        <w:t>信息公告</w:t>
      </w:r>
      <w:r>
        <w:rPr>
          <w:rFonts w:ascii="宋体" w:hAnsi="宋体" w:cs="Arial"/>
          <w:b/>
          <w:kern w:val="0"/>
          <w:sz w:val="24"/>
        </w:rPr>
        <w:t>”</w:t>
      </w:r>
      <w:r>
        <w:rPr>
          <w:rFonts w:ascii="宋体" w:hAnsi="宋体" w:cs="Arial" w:hint="eastAsia"/>
          <w:b/>
          <w:kern w:val="0"/>
          <w:sz w:val="24"/>
        </w:rPr>
        <w:t>的约定，发布理财计划的信息公告。投资者应根据</w:t>
      </w:r>
      <w:r>
        <w:rPr>
          <w:rFonts w:ascii="宋体" w:hAnsi="宋体" w:cs="Arial"/>
          <w:b/>
          <w:kern w:val="0"/>
          <w:sz w:val="24"/>
        </w:rPr>
        <w:t>“</w:t>
      </w:r>
      <w:r>
        <w:rPr>
          <w:rFonts w:ascii="宋体" w:hAnsi="宋体" w:cs="Arial" w:hint="eastAsia"/>
          <w:b/>
          <w:kern w:val="0"/>
          <w:sz w:val="24"/>
        </w:rPr>
        <w:t>信息公告</w:t>
      </w:r>
      <w:r>
        <w:rPr>
          <w:rFonts w:ascii="宋体" w:hAnsi="宋体" w:cs="Arial"/>
          <w:b/>
          <w:kern w:val="0"/>
          <w:sz w:val="24"/>
        </w:rPr>
        <w:t>”</w:t>
      </w:r>
      <w:r>
        <w:rPr>
          <w:rFonts w:ascii="宋体" w:hAnsi="宋体" w:cs="Arial" w:hint="eastAsia"/>
          <w:b/>
          <w:kern w:val="0"/>
          <w:sz w:val="24"/>
        </w:rPr>
        <w:t>的约定及时登录招商银行网站或致电招商银行全国统一客户服务热线（</w:t>
      </w:r>
      <w:r>
        <w:rPr>
          <w:rFonts w:ascii="宋体" w:hAnsi="宋体" w:cs="Arial"/>
          <w:b/>
          <w:kern w:val="0"/>
          <w:sz w:val="24"/>
        </w:rPr>
        <w:t>95555</w:t>
      </w:r>
      <w:r>
        <w:rPr>
          <w:rFonts w:ascii="宋体" w:hAnsi="宋体" w:cs="Arial" w:hint="eastAsia"/>
          <w:b/>
          <w:kern w:val="0"/>
          <w:sz w:val="24"/>
        </w:rPr>
        <w:t>）或到招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8319DB" w:rsidRDefault="000D0DF8">
      <w:pPr>
        <w:numPr>
          <w:ilvl w:val="0"/>
          <w:numId w:val="1"/>
        </w:numPr>
        <w:rPr>
          <w:rFonts w:ascii="宋体" w:hAnsi="宋体" w:cs="Arial"/>
          <w:b/>
          <w:bCs/>
          <w:sz w:val="24"/>
        </w:rPr>
      </w:pPr>
      <w:r>
        <w:rPr>
          <w:rFonts w:ascii="宋体" w:hAnsi="宋体" w:cs="Arial"/>
          <w:b/>
          <w:kern w:val="0"/>
          <w:sz w:val="24"/>
        </w:rPr>
        <w:lastRenderedPageBreak/>
        <w:t>理财计划不成立风险：如果自本理财计划开始认购至认购结束</w:t>
      </w:r>
      <w:r>
        <w:rPr>
          <w:rFonts w:ascii="宋体" w:hAnsi="宋体" w:cs="Arial" w:hint="eastAsia"/>
          <w:b/>
          <w:kern w:val="0"/>
          <w:sz w:val="24"/>
        </w:rPr>
        <w:t>时</w:t>
      </w:r>
      <w:r>
        <w:rPr>
          <w:rFonts w:ascii="宋体" w:hAnsi="宋体" w:cs="Arial"/>
          <w:b/>
          <w:kern w:val="0"/>
          <w:sz w:val="24"/>
        </w:rPr>
        <w:t>，本理财计划的认购金额未达到认购下限</w:t>
      </w:r>
      <w:r>
        <w:rPr>
          <w:rFonts w:ascii="宋体" w:hAnsi="宋体" w:cs="Arial" w:hint="eastAsia"/>
          <w:b/>
          <w:kern w:val="0"/>
          <w:sz w:val="24"/>
        </w:rPr>
        <w:t>（如有）</w:t>
      </w:r>
      <w:r>
        <w:rPr>
          <w:rFonts w:ascii="宋体" w:hAnsi="宋体" w:cs="Arial"/>
          <w:b/>
          <w:kern w:val="0"/>
          <w:sz w:val="24"/>
        </w:rPr>
        <w:t>，或国家宏观政策以及市场相关法规政策发生变化，或市场发生剧烈波动，</w:t>
      </w:r>
      <w:r>
        <w:rPr>
          <w:rFonts w:ascii="宋体" w:hAnsi="宋体" w:cs="Arial" w:hint="eastAsia"/>
          <w:b/>
          <w:kern w:val="0"/>
          <w:sz w:val="24"/>
        </w:rPr>
        <w:t>且</w:t>
      </w:r>
      <w:r>
        <w:rPr>
          <w:rFonts w:ascii="宋体" w:hAnsi="宋体" w:cs="Arial"/>
          <w:b/>
          <w:kern w:val="0"/>
          <w:sz w:val="24"/>
        </w:rPr>
        <w:t>经招商银行合理判断难以按照产品说明书规定向投资者提供理财计划，招商银行有权宣布本理财计划不成立。</w:t>
      </w:r>
    </w:p>
    <w:p w:rsidR="008319DB" w:rsidRDefault="000D0DF8">
      <w:pPr>
        <w:numPr>
          <w:ilvl w:val="0"/>
          <w:numId w:val="1"/>
        </w:numPr>
        <w:rPr>
          <w:rFonts w:ascii="宋体" w:hAnsi="宋体" w:cs="Arial"/>
          <w:b/>
          <w:bCs/>
          <w:sz w:val="24"/>
        </w:rPr>
      </w:pPr>
      <w:r>
        <w:rPr>
          <w:rFonts w:ascii="宋体" w:hAnsi="宋体" w:cs="Arial"/>
          <w:b/>
          <w:bCs/>
          <w:sz w:val="24"/>
        </w:rPr>
        <w:t>不可抗力风险：指由于自然灾害、战争等不可抗力因素的出现，可能影响理财计划的受理、投资、偿还等的正常进行，甚至导致本理财计划收益降低和本金损失</w:t>
      </w:r>
      <w:r>
        <w:rPr>
          <w:rFonts w:ascii="宋体" w:hAnsi="宋体" w:cs="Arial" w:hint="eastAsia"/>
          <w:b/>
          <w:bCs/>
          <w:sz w:val="24"/>
        </w:rPr>
        <w:t>的风险</w:t>
      </w:r>
      <w:r>
        <w:rPr>
          <w:rFonts w:ascii="宋体" w:hAnsi="宋体" w:cs="Arial"/>
          <w:b/>
          <w:bCs/>
          <w:sz w:val="24"/>
        </w:rPr>
        <w:t>。</w:t>
      </w:r>
    </w:p>
    <w:p w:rsidR="008319DB" w:rsidRDefault="008319DB">
      <w:pPr>
        <w:pStyle w:val="a7"/>
        <w:ind w:firstLineChars="0" w:firstLine="0"/>
        <w:rPr>
          <w:rFonts w:ascii="宋体" w:hAnsi="宋体" w:cs="Arial"/>
          <w:sz w:val="21"/>
        </w:rPr>
      </w:pPr>
    </w:p>
    <w:p w:rsidR="008319DB" w:rsidRDefault="000D0DF8">
      <w:pPr>
        <w:spacing w:line="300" w:lineRule="auto"/>
        <w:ind w:firstLineChars="200" w:firstLine="482"/>
        <w:rPr>
          <w:rFonts w:ascii="宋体" w:hAnsi="宋体"/>
          <w:b/>
          <w:sz w:val="24"/>
        </w:rPr>
      </w:pPr>
      <w:r>
        <w:rPr>
          <w:rFonts w:ascii="宋体" w:hAnsi="宋体" w:hint="eastAsia"/>
          <w:b/>
          <w:sz w:val="24"/>
        </w:rPr>
        <w:t>本理财计划产品类型为非保本浮动收益类，风险评级为R2（稳健型），适合购买客户为风险承受能力为A2（稳健型）及以上的客户。</w:t>
      </w:r>
    </w:p>
    <w:p w:rsidR="008319DB" w:rsidRDefault="00127D41">
      <w:pPr>
        <w:spacing w:line="300" w:lineRule="auto"/>
        <w:ind w:firstLineChars="200" w:firstLine="482"/>
        <w:rPr>
          <w:rFonts w:ascii="宋体" w:hAnsi="宋体"/>
          <w:b/>
          <w:sz w:val="24"/>
        </w:rPr>
      </w:pPr>
      <w:r w:rsidRPr="00127D41">
        <w:rPr>
          <w:rFonts w:ascii="宋体" w:hAnsi="宋体" w:cs="Arial" w:hint="eastAsia"/>
          <w:b/>
          <w:bCs/>
          <w:sz w:val="24"/>
        </w:rPr>
        <w:t>本理财计划不保证本金的偿付，但本金风险相对较小，收益浮动相对可控，您的本金可能会因市场变动而蒙受重大损失，您应充分认识投资风险，谨慎投资。</w:t>
      </w:r>
    </w:p>
    <w:p w:rsidR="008319DB" w:rsidRDefault="000D0DF8">
      <w:pPr>
        <w:spacing w:line="300" w:lineRule="auto"/>
        <w:ind w:firstLineChars="200" w:firstLine="480"/>
        <w:rPr>
          <w:rFonts w:ascii="宋体" w:hAnsi="宋体"/>
          <w:sz w:val="24"/>
        </w:rPr>
      </w:pPr>
      <w:r>
        <w:rPr>
          <w:rFonts w:ascii="宋体" w:hAnsi="宋体" w:hint="eastAsia"/>
          <w:sz w:val="24"/>
        </w:rPr>
        <w:t>示例：若投资者购买本理财计划，理财计划本金为</w:t>
      </w:r>
      <w:r w:rsidR="005D6326">
        <w:rPr>
          <w:rFonts w:ascii="宋体" w:hAnsi="宋体"/>
          <w:sz w:val="24"/>
        </w:rPr>
        <w:fldChar w:fldCharType="begin"/>
      </w:r>
      <w:r>
        <w:rPr>
          <w:rFonts w:ascii="宋体" w:hAnsi="宋体"/>
          <w:sz w:val="24"/>
        </w:rPr>
        <w:instrText xml:space="preserve"> </w:instrText>
      </w:r>
      <w:r>
        <w:rPr>
          <w:rFonts w:ascii="宋体" w:hAnsi="宋体" w:hint="eastAsia"/>
          <w:sz w:val="24"/>
        </w:rPr>
        <w:instrText>MERGEFIELD "认购本金"</w:instrText>
      </w:r>
      <w:r>
        <w:rPr>
          <w:rFonts w:ascii="宋体" w:hAnsi="宋体"/>
          <w:sz w:val="24"/>
        </w:rPr>
        <w:instrText xml:space="preserve"> </w:instrText>
      </w:r>
      <w:r w:rsidR="005D6326">
        <w:rPr>
          <w:rFonts w:ascii="宋体" w:hAnsi="宋体"/>
          <w:sz w:val="24"/>
        </w:rPr>
        <w:fldChar w:fldCharType="separate"/>
      </w:r>
      <w:r>
        <w:rPr>
          <w:rFonts w:ascii="宋体" w:hAnsi="宋体"/>
          <w:sz w:val="24"/>
        </w:rPr>
        <w:t>50000</w:t>
      </w:r>
      <w:r w:rsidR="005D6326">
        <w:rPr>
          <w:rFonts w:ascii="宋体" w:hAnsi="宋体"/>
          <w:sz w:val="24"/>
        </w:rPr>
        <w:fldChar w:fldCharType="end"/>
      </w:r>
      <w:r>
        <w:rPr>
          <w:rFonts w:ascii="宋体" w:hAnsi="宋体" w:hint="eastAsia"/>
          <w:sz w:val="24"/>
        </w:rPr>
        <w:t>元，在资产组合项下资产全部亏损的最不利情况下，理财计划50000元本金将全部损失。</w:t>
      </w:r>
    </w:p>
    <w:p w:rsidR="008319DB" w:rsidRDefault="000D0DF8">
      <w:pPr>
        <w:spacing w:line="300" w:lineRule="auto"/>
        <w:ind w:firstLineChars="200" w:firstLine="482"/>
        <w:rPr>
          <w:rFonts w:ascii="宋体" w:hAnsi="宋体"/>
          <w:b/>
          <w:sz w:val="24"/>
        </w:rPr>
      </w:pPr>
      <w:r>
        <w:rPr>
          <w:rFonts w:ascii="宋体" w:hAnsi="宋体" w:hint="eastAsia"/>
          <w:b/>
          <w:sz w:val="24"/>
        </w:rPr>
        <w:t>在您签署本理财计划的受托理财计划交易申请表前，应当仔细阅读本风险揭示书及理财计划产品说明书的全部内容，同时向我行了解本理财计划的其他相关信息，并自己独立作出是否认购本理财计划的决定。您签署本揭示书、招商银行受托理财计划交易申请表，并将资金委托给我行运作是您真实的意思表示。本风险揭示书及相应招商银行受托理财计划交易申请表、理财计划产品说明书将共同构成贵我双方理财合同的有效组成部分。</w:t>
      </w:r>
    </w:p>
    <w:p w:rsidR="008319DB" w:rsidRDefault="008319DB">
      <w:pPr>
        <w:spacing w:line="300" w:lineRule="auto"/>
        <w:ind w:firstLineChars="200" w:firstLine="480"/>
        <w:rPr>
          <w:rFonts w:ascii="宋体" w:hAnsi="宋体"/>
          <w:sz w:val="24"/>
        </w:rPr>
      </w:pPr>
    </w:p>
    <w:p w:rsidR="008319DB" w:rsidRDefault="000D0DF8">
      <w:pPr>
        <w:spacing w:line="288" w:lineRule="auto"/>
        <w:ind w:firstLine="570"/>
        <w:rPr>
          <w:rFonts w:ascii="宋体" w:hAnsi="宋体" w:cs="Arial"/>
          <w:sz w:val="24"/>
        </w:rPr>
      </w:pPr>
      <w:r>
        <w:rPr>
          <w:rFonts w:ascii="宋体" w:hAnsi="宋体" w:cs="Arial"/>
          <w:sz w:val="24"/>
        </w:rPr>
        <w:t xml:space="preserve">                            风险</w:t>
      </w:r>
      <w:r>
        <w:rPr>
          <w:rFonts w:ascii="宋体" w:hAnsi="宋体" w:cs="Arial" w:hint="eastAsia"/>
          <w:sz w:val="24"/>
        </w:rPr>
        <w:t>揭示</w:t>
      </w:r>
      <w:r>
        <w:rPr>
          <w:rFonts w:ascii="宋体" w:hAnsi="宋体" w:cs="Arial"/>
          <w:sz w:val="24"/>
        </w:rPr>
        <w:t>方： 招商银行股份有限公司</w:t>
      </w:r>
    </w:p>
    <w:p w:rsidR="008319DB" w:rsidRDefault="008319DB">
      <w:pPr>
        <w:spacing w:line="288" w:lineRule="auto"/>
        <w:ind w:firstLine="3450"/>
        <w:rPr>
          <w:rFonts w:ascii="宋体" w:hAnsi="宋体" w:cs="Arial"/>
          <w:sz w:val="24"/>
          <w:u w:val="single"/>
        </w:rPr>
      </w:pPr>
    </w:p>
    <w:p w:rsidR="008319DB" w:rsidRDefault="000D0DF8">
      <w:pPr>
        <w:autoSpaceDE w:val="0"/>
        <w:autoSpaceDN w:val="0"/>
        <w:adjustRightInd w:val="0"/>
        <w:snapToGrid w:val="0"/>
        <w:spacing w:line="300" w:lineRule="auto"/>
        <w:jc w:val="center"/>
        <w:rPr>
          <w:rFonts w:ascii="宋体" w:hAnsi="宋体"/>
          <w:b/>
          <w:color w:val="000000"/>
          <w:sz w:val="22"/>
          <w:lang w:val="zh-CN"/>
        </w:rPr>
      </w:pPr>
      <w:r>
        <w:rPr>
          <w:rFonts w:ascii="宋体" w:hAnsi="宋体" w:hint="eastAsia"/>
          <w:b/>
          <w:color w:val="000000"/>
          <w:sz w:val="22"/>
          <w:lang w:val="zh-CN"/>
        </w:rPr>
        <w:t>客户确认栏</w:t>
      </w:r>
    </w:p>
    <w:p w:rsidR="008319DB" w:rsidRDefault="000D0DF8">
      <w:pPr>
        <w:autoSpaceDE w:val="0"/>
        <w:autoSpaceDN w:val="0"/>
        <w:adjustRightInd w:val="0"/>
        <w:snapToGrid w:val="0"/>
        <w:spacing w:line="300" w:lineRule="auto"/>
        <w:ind w:firstLineChars="200" w:firstLine="440"/>
        <w:rPr>
          <w:rFonts w:ascii="宋体" w:hAnsi="宋体"/>
          <w:b/>
          <w:color w:val="000000"/>
          <w:sz w:val="22"/>
          <w:lang w:val="zh-CN"/>
        </w:rPr>
      </w:pPr>
      <w:r>
        <w:rPr>
          <w:rFonts w:ascii="宋体" w:hAnsi="宋体" w:hint="eastAsia"/>
          <w:color w:val="000000"/>
          <w:sz w:val="22"/>
          <w:lang w:val="zh-CN"/>
        </w:rPr>
        <w:t>本人确认购买该理财计划为本人真实的意思表示,并认为该理财计划完全适合本人的投资目标，投资预期以及风险承受能力。</w:t>
      </w:r>
      <w:r>
        <w:rPr>
          <w:rFonts w:ascii="宋体" w:hAnsi="宋体" w:hint="eastAsia"/>
          <w:b/>
          <w:color w:val="000000"/>
          <w:sz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8319DB" w:rsidRDefault="000D0DF8">
      <w:pPr>
        <w:autoSpaceDE w:val="0"/>
        <w:autoSpaceDN w:val="0"/>
        <w:adjustRightInd w:val="0"/>
        <w:snapToGrid w:val="0"/>
        <w:spacing w:line="300" w:lineRule="auto"/>
        <w:ind w:firstLineChars="200" w:firstLine="440"/>
        <w:rPr>
          <w:rFonts w:ascii="宋体" w:hAnsi="宋体"/>
          <w:color w:val="000000"/>
          <w:sz w:val="22"/>
          <w:lang w:val="zh-CN"/>
        </w:rPr>
      </w:pPr>
      <w:r>
        <w:rPr>
          <w:rFonts w:ascii="宋体" w:hAnsi="宋体" w:hint="eastAsia"/>
          <w:color w:val="000000"/>
          <w:sz w:val="22"/>
          <w:lang w:val="zh-CN"/>
        </w:rPr>
        <w:t>本人确认如下：</w:t>
      </w:r>
    </w:p>
    <w:p w:rsidR="008319DB" w:rsidRDefault="000D0DF8">
      <w:pPr>
        <w:autoSpaceDE w:val="0"/>
        <w:autoSpaceDN w:val="0"/>
        <w:adjustRightInd w:val="0"/>
        <w:snapToGrid w:val="0"/>
        <w:spacing w:line="300" w:lineRule="auto"/>
        <w:rPr>
          <w:rFonts w:ascii="宋体" w:hAnsi="宋体"/>
          <w:color w:val="000000"/>
          <w:sz w:val="22"/>
          <w:lang w:val="zh-CN"/>
        </w:rPr>
      </w:pPr>
      <w:r>
        <w:rPr>
          <w:rFonts w:ascii="宋体" w:hAnsi="宋体" w:hint="eastAsia"/>
          <w:color w:val="000000"/>
          <w:sz w:val="22"/>
          <w:lang w:val="zh-CN"/>
        </w:rPr>
        <w:t>本人风险承受能力评级为：</w:t>
      </w:r>
      <w:r>
        <w:rPr>
          <w:rFonts w:ascii="宋体" w:hAnsi="宋体" w:hint="eastAsia"/>
          <w:b/>
          <w:color w:val="000000"/>
          <w:sz w:val="22"/>
          <w:lang w:val="zh-CN"/>
        </w:rPr>
        <w:t>□A1  □A2  □A3  □A4  □A5</w:t>
      </w:r>
    </w:p>
    <w:p w:rsidR="008319DB" w:rsidRDefault="000D0DF8">
      <w:pPr>
        <w:autoSpaceDE w:val="0"/>
        <w:autoSpaceDN w:val="0"/>
        <w:adjustRightInd w:val="0"/>
        <w:snapToGrid w:val="0"/>
        <w:spacing w:line="300" w:lineRule="auto"/>
        <w:rPr>
          <w:rFonts w:ascii="宋体" w:hAnsi="宋体"/>
          <w:color w:val="000000"/>
          <w:sz w:val="22"/>
          <w:lang w:val="zh-CN"/>
        </w:rPr>
      </w:pPr>
      <w:r>
        <w:rPr>
          <w:rFonts w:ascii="宋体" w:hAnsi="宋体" w:hint="eastAsia"/>
          <w:color w:val="000000"/>
          <w:sz w:val="22"/>
          <w:lang w:val="zh-CN"/>
        </w:rPr>
        <w:t>（客户需全文抄录以下文字以完成确认：</w:t>
      </w:r>
      <w:r>
        <w:rPr>
          <w:rFonts w:ascii="宋体" w:hAnsi="宋体" w:hint="eastAsia"/>
          <w:b/>
          <w:bCs/>
          <w:color w:val="000000"/>
          <w:sz w:val="22"/>
          <w:lang w:val="zh-CN"/>
        </w:rPr>
        <w:t>本人已经阅读风险揭示，愿意承担投资风险。</w:t>
      </w:r>
      <w:r>
        <w:rPr>
          <w:rFonts w:ascii="宋体" w:hAnsi="宋体" w:hint="eastAsia"/>
          <w:color w:val="000000"/>
          <w:sz w:val="22"/>
          <w:lang w:val="zh-CN"/>
        </w:rPr>
        <w:t>）</w:t>
      </w:r>
    </w:p>
    <w:p w:rsidR="008319DB" w:rsidRDefault="008319DB">
      <w:pPr>
        <w:autoSpaceDE w:val="0"/>
        <w:autoSpaceDN w:val="0"/>
        <w:adjustRightInd w:val="0"/>
        <w:snapToGrid w:val="0"/>
        <w:spacing w:line="300" w:lineRule="auto"/>
        <w:rPr>
          <w:rFonts w:ascii="宋体" w:hAnsi="宋体"/>
          <w:color w:val="000000"/>
          <w:sz w:val="22"/>
          <w:lang w:val="zh-CN"/>
        </w:rPr>
      </w:pPr>
    </w:p>
    <w:p w:rsidR="008319DB" w:rsidRDefault="000D0DF8">
      <w:pPr>
        <w:autoSpaceDE w:val="0"/>
        <w:autoSpaceDN w:val="0"/>
        <w:adjustRightInd w:val="0"/>
        <w:snapToGrid w:val="0"/>
        <w:spacing w:line="300" w:lineRule="auto"/>
        <w:rPr>
          <w:rFonts w:ascii="宋体" w:hAnsi="宋体"/>
          <w:color w:val="000000"/>
          <w:sz w:val="22"/>
          <w:u w:val="single"/>
          <w:lang w:val="zh-CN"/>
        </w:rPr>
      </w:pPr>
      <w:r>
        <w:rPr>
          <w:rFonts w:ascii="宋体" w:hAnsi="宋体"/>
          <w:color w:val="000000"/>
          <w:sz w:val="22"/>
          <w:u w:val="single"/>
          <w:lang w:val="zh-CN"/>
        </w:rPr>
        <w:t xml:space="preserve">                     </w:t>
      </w:r>
      <w:r>
        <w:rPr>
          <w:rFonts w:ascii="宋体" w:hAnsi="宋体" w:hint="eastAsia"/>
          <w:color w:val="000000"/>
          <w:sz w:val="22"/>
          <w:u w:val="single"/>
          <w:lang w:val="zh-CN"/>
        </w:rPr>
        <w:t xml:space="preserve">                       </w:t>
      </w:r>
      <w:r>
        <w:rPr>
          <w:rFonts w:ascii="宋体" w:hAnsi="宋体"/>
          <w:color w:val="000000"/>
          <w:sz w:val="22"/>
          <w:u w:val="single"/>
          <w:lang w:val="zh-CN"/>
        </w:rPr>
        <w:t xml:space="preserve">                           </w:t>
      </w:r>
      <w:r>
        <w:rPr>
          <w:rFonts w:ascii="宋体" w:hAnsi="宋体" w:hint="eastAsia"/>
          <w:color w:val="000000"/>
          <w:sz w:val="22"/>
          <w:u w:val="single"/>
          <w:lang w:val="zh-CN"/>
        </w:rPr>
        <w:t xml:space="preserve"> </w:t>
      </w:r>
    </w:p>
    <w:p w:rsidR="008319DB" w:rsidRDefault="008319DB">
      <w:pPr>
        <w:autoSpaceDE w:val="0"/>
        <w:autoSpaceDN w:val="0"/>
        <w:adjustRightInd w:val="0"/>
        <w:snapToGrid w:val="0"/>
        <w:spacing w:line="300" w:lineRule="auto"/>
        <w:rPr>
          <w:rFonts w:ascii="宋体" w:hAnsi="宋体"/>
          <w:color w:val="000000"/>
          <w:sz w:val="22"/>
          <w:u w:val="single"/>
          <w:lang w:val="zh-CN"/>
        </w:rPr>
      </w:pPr>
    </w:p>
    <w:p w:rsidR="008319DB" w:rsidRDefault="000D0DF8">
      <w:pPr>
        <w:autoSpaceDE w:val="0"/>
        <w:autoSpaceDN w:val="0"/>
        <w:adjustRightInd w:val="0"/>
        <w:snapToGrid w:val="0"/>
        <w:spacing w:line="300" w:lineRule="auto"/>
        <w:jc w:val="center"/>
        <w:rPr>
          <w:rFonts w:ascii="宋体" w:hAnsi="宋体"/>
          <w:color w:val="000000"/>
          <w:sz w:val="22"/>
          <w:lang w:val="zh-CN"/>
        </w:rPr>
      </w:pPr>
      <w:r>
        <w:rPr>
          <w:rFonts w:ascii="宋体" w:hAnsi="宋体" w:hint="eastAsia"/>
          <w:color w:val="000000"/>
          <w:sz w:val="22"/>
          <w:lang w:val="zh-CN"/>
        </w:rPr>
        <w:t>确认人（签字）：</w:t>
      </w:r>
    </w:p>
    <w:p w:rsidR="00981DDA" w:rsidRDefault="000D0DF8">
      <w:pPr>
        <w:autoSpaceDE w:val="0"/>
        <w:autoSpaceDN w:val="0"/>
        <w:adjustRightInd w:val="0"/>
        <w:snapToGrid w:val="0"/>
        <w:spacing w:line="300" w:lineRule="auto"/>
        <w:jc w:val="right"/>
        <w:rPr>
          <w:rFonts w:ascii="宋体" w:hAnsi="宋体"/>
          <w:color w:val="000000"/>
          <w:sz w:val="22"/>
          <w:lang w:val="zh-CN"/>
        </w:rPr>
      </w:pPr>
      <w:r>
        <w:rPr>
          <w:rFonts w:ascii="宋体" w:hAnsi="宋体" w:hint="eastAsia"/>
          <w:color w:val="000000"/>
          <w:sz w:val="22"/>
          <w:lang w:val="zh-CN"/>
        </w:rPr>
        <w:t>日期：</w:t>
      </w:r>
      <w:r>
        <w:rPr>
          <w:rFonts w:ascii="宋体" w:hAnsi="宋体"/>
          <w:color w:val="000000"/>
          <w:sz w:val="22"/>
          <w:lang w:val="zh-CN"/>
        </w:rPr>
        <w:t xml:space="preserve">      </w:t>
      </w:r>
      <w:r>
        <w:rPr>
          <w:rFonts w:ascii="宋体" w:hAnsi="宋体" w:hint="eastAsia"/>
          <w:color w:val="000000"/>
          <w:sz w:val="22"/>
          <w:lang w:val="zh-CN"/>
        </w:rPr>
        <w:t>年</w:t>
      </w:r>
      <w:r>
        <w:rPr>
          <w:rFonts w:ascii="宋体" w:hAnsi="宋体"/>
          <w:color w:val="000000"/>
          <w:sz w:val="22"/>
          <w:lang w:val="zh-CN"/>
        </w:rPr>
        <w:t xml:space="preserve">    </w:t>
      </w:r>
      <w:r>
        <w:rPr>
          <w:rFonts w:ascii="宋体" w:hAnsi="宋体" w:hint="eastAsia"/>
          <w:color w:val="000000"/>
          <w:sz w:val="22"/>
          <w:lang w:val="zh-CN"/>
        </w:rPr>
        <w:t>月</w:t>
      </w:r>
      <w:r>
        <w:rPr>
          <w:rFonts w:ascii="宋体" w:hAnsi="宋体"/>
          <w:color w:val="000000"/>
          <w:sz w:val="22"/>
          <w:lang w:val="zh-CN"/>
        </w:rPr>
        <w:t xml:space="preserve">    </w:t>
      </w:r>
      <w:r>
        <w:rPr>
          <w:rFonts w:ascii="宋体" w:hAnsi="宋体" w:hint="eastAsia"/>
          <w:color w:val="000000"/>
          <w:sz w:val="22"/>
          <w:lang w:val="zh-CN"/>
        </w:rPr>
        <w:t>日</w:t>
      </w:r>
    </w:p>
    <w:p w:rsidR="00981DDA" w:rsidRDefault="00981DDA">
      <w:pPr>
        <w:widowControl/>
        <w:jc w:val="left"/>
        <w:rPr>
          <w:rFonts w:ascii="宋体" w:hAnsi="宋体"/>
          <w:color w:val="000000"/>
          <w:sz w:val="22"/>
          <w:lang w:val="zh-CN"/>
        </w:rPr>
      </w:pPr>
      <w:r>
        <w:rPr>
          <w:rFonts w:ascii="宋体" w:hAnsi="宋体"/>
          <w:color w:val="000000"/>
          <w:sz w:val="22"/>
          <w:lang w:val="zh-CN"/>
        </w:rPr>
        <w:br w:type="page"/>
      </w:r>
    </w:p>
    <w:p w:rsidR="008319DB" w:rsidRDefault="008319DB">
      <w:pPr>
        <w:autoSpaceDE w:val="0"/>
        <w:autoSpaceDN w:val="0"/>
        <w:adjustRightInd w:val="0"/>
        <w:snapToGrid w:val="0"/>
        <w:spacing w:line="300" w:lineRule="auto"/>
        <w:jc w:val="right"/>
        <w:rPr>
          <w:rFonts w:ascii="宋体" w:hAnsi="宋体"/>
          <w:color w:val="000000"/>
          <w:sz w:val="22"/>
          <w:lang w:val="zh-CN"/>
        </w:rPr>
      </w:pPr>
    </w:p>
    <w:p w:rsidR="008319DB" w:rsidRDefault="000D0DF8">
      <w:pPr>
        <w:adjustRightInd w:val="0"/>
        <w:snapToGrid w:val="0"/>
        <w:spacing w:line="360" w:lineRule="auto"/>
        <w:jc w:val="center"/>
        <w:rPr>
          <w:rFonts w:ascii="宋体" w:hAnsi="宋体" w:cs="Arial"/>
          <w:b/>
          <w:sz w:val="28"/>
          <w:szCs w:val="28"/>
        </w:rPr>
      </w:pPr>
      <w:r>
        <w:rPr>
          <w:rFonts w:ascii="宋体" w:hAnsi="宋体" w:cs="Arial"/>
          <w:b/>
          <w:sz w:val="28"/>
          <w:szCs w:val="28"/>
        </w:rPr>
        <w:t>“金葵花”——招银进宝系列之</w:t>
      </w:r>
    </w:p>
    <w:p w:rsidR="008319DB" w:rsidRDefault="000D0DF8">
      <w:pPr>
        <w:adjustRightInd w:val="0"/>
        <w:snapToGrid w:val="0"/>
        <w:spacing w:line="360" w:lineRule="auto"/>
        <w:jc w:val="center"/>
        <w:rPr>
          <w:rFonts w:ascii="宋体" w:hAnsi="宋体" w:cs="Arial"/>
          <w:b/>
          <w:sz w:val="28"/>
          <w:szCs w:val="28"/>
        </w:rPr>
      </w:pPr>
      <w:r>
        <w:rPr>
          <w:rFonts w:ascii="宋体" w:hAnsi="宋体" w:cs="Arial" w:hint="eastAsia"/>
          <w:b/>
          <w:sz w:val="28"/>
          <w:szCs w:val="28"/>
        </w:rPr>
        <w:t>“</w:t>
      </w:r>
      <w:r>
        <w:rPr>
          <w:rFonts w:ascii="宋体" w:hAnsi="宋体" w:cs="Arial"/>
          <w:b/>
          <w:sz w:val="28"/>
          <w:szCs w:val="28"/>
        </w:rPr>
        <w:t>朝招金</w:t>
      </w:r>
      <w:r>
        <w:rPr>
          <w:rFonts w:ascii="宋体" w:hAnsi="宋体" w:cs="Arial" w:hint="eastAsia"/>
          <w:b/>
          <w:sz w:val="28"/>
          <w:szCs w:val="28"/>
        </w:rPr>
        <w:t>”</w:t>
      </w:r>
      <w:r>
        <w:rPr>
          <w:rFonts w:ascii="宋体" w:hAnsi="宋体" w:cs="Arial" w:hint="eastAsia"/>
          <w:b/>
          <w:sz w:val="28"/>
        </w:rPr>
        <w:t>（多元进取型）</w:t>
      </w:r>
      <w:r>
        <w:rPr>
          <w:rFonts w:ascii="宋体" w:hAnsi="宋体" w:cs="Arial"/>
          <w:b/>
          <w:sz w:val="28"/>
          <w:szCs w:val="28"/>
        </w:rPr>
        <w:t>理财计划产品说明书</w:t>
      </w:r>
    </w:p>
    <w:p w:rsidR="008319DB" w:rsidRDefault="000D0DF8">
      <w:pPr>
        <w:adjustRightInd w:val="0"/>
        <w:snapToGrid w:val="0"/>
        <w:spacing w:line="360" w:lineRule="auto"/>
        <w:jc w:val="center"/>
        <w:rPr>
          <w:rFonts w:ascii="宋体" w:hAnsi="宋体" w:cs="Arial"/>
          <w:b/>
          <w:sz w:val="28"/>
          <w:szCs w:val="28"/>
        </w:rPr>
      </w:pPr>
      <w:r>
        <w:rPr>
          <w:rFonts w:ascii="宋体" w:hAnsi="宋体" w:cs="Arial"/>
          <w:b/>
          <w:sz w:val="28"/>
          <w:szCs w:val="28"/>
        </w:rPr>
        <w:t>（产品代码：</w:t>
      </w:r>
      <w:r>
        <w:rPr>
          <w:rFonts w:ascii="宋体" w:hAnsi="宋体" w:cs="Arial" w:hint="eastAsia"/>
          <w:b/>
          <w:sz w:val="28"/>
          <w:szCs w:val="28"/>
        </w:rPr>
        <w:t>8197</w:t>
      </w:r>
      <w:r>
        <w:rPr>
          <w:rFonts w:ascii="宋体" w:hAnsi="宋体" w:cs="Arial"/>
          <w:b/>
          <w:sz w:val="28"/>
          <w:szCs w:val="28"/>
        </w:rPr>
        <w:t>）</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重要须知</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·本理财计划不等同于银行存款。</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·本理财计划仅向依据中华人民共和国有关法律法规及本产品说明书规定可以购买本理财计划的合格投资者发售。</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·在购买本理财计划前，请投资者确保完全明白本理财计划的性质、其中涉及的风险以及投资者的自身情况。投资者若对本产品说明书的内容有任何疑问，请向招商银行各营业网点咨询。</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且不超过招商银行公布的本产品预期最高年化收益率。</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·本理财计划只根据本产品说明书所载的资料操作。</w:t>
      </w:r>
    </w:p>
    <w:p w:rsidR="008319DB" w:rsidRDefault="000D0DF8">
      <w:pPr>
        <w:autoSpaceDE w:val="0"/>
        <w:autoSpaceDN w:val="0"/>
        <w:adjustRightInd w:val="0"/>
        <w:snapToGrid w:val="0"/>
        <w:spacing w:line="300" w:lineRule="auto"/>
        <w:jc w:val="left"/>
        <w:rPr>
          <w:rFonts w:ascii="宋体" w:hAnsi="宋体"/>
          <w:b/>
          <w:bCs/>
          <w:color w:val="000000"/>
          <w:kern w:val="0"/>
          <w:sz w:val="22"/>
          <w:lang w:val="zh-CN"/>
        </w:rPr>
      </w:pPr>
      <w:r>
        <w:rPr>
          <w:rFonts w:ascii="宋体" w:hAnsi="宋体" w:hint="eastAsia"/>
          <w:b/>
          <w:bCs/>
          <w:color w:val="000000"/>
          <w:kern w:val="0"/>
          <w:sz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Pr>
          <w:rFonts w:ascii="宋体" w:hAnsi="宋体"/>
          <w:color w:val="000000"/>
          <w:kern w:val="0"/>
          <w:sz w:val="22"/>
        </w:rPr>
        <w:t>www.cmbchina.com</w:t>
      </w:r>
      <w:r>
        <w:rPr>
          <w:rFonts w:ascii="宋体" w:hAnsi="宋体" w:hint="eastAsia"/>
          <w:b/>
          <w:bCs/>
          <w:color w:val="000000"/>
          <w:kern w:val="0"/>
          <w:sz w:val="22"/>
          <w:lang w:val="zh-CN"/>
        </w:rPr>
        <w:t>）上公告的方式通知投资者。</w:t>
      </w:r>
    </w:p>
    <w:p w:rsidR="008319DB" w:rsidRDefault="000D0DF8">
      <w:pPr>
        <w:rPr>
          <w:rFonts w:ascii="宋体" w:hAnsi="宋体" w:cs="Arial"/>
          <w:sz w:val="24"/>
        </w:rPr>
      </w:pPr>
      <w:r>
        <w:rPr>
          <w:rFonts w:ascii="宋体" w:hAnsi="宋体" w:hint="eastAsia"/>
          <w:b/>
          <w:bCs/>
          <w:color w:val="000000"/>
          <w:kern w:val="0"/>
          <w:sz w:val="22"/>
          <w:lang w:val="zh-CN"/>
        </w:rPr>
        <w:t>·</w:t>
      </w:r>
      <w:r>
        <w:rPr>
          <w:rFonts w:ascii="宋体" w:hAnsi="宋体"/>
          <w:b/>
          <w:bCs/>
          <w:color w:val="000000"/>
          <w:kern w:val="0"/>
          <w:sz w:val="22"/>
          <w:lang w:val="zh-CN"/>
        </w:rPr>
        <w:t>招商银行有权依法</w:t>
      </w:r>
      <w:r>
        <w:rPr>
          <w:rFonts w:ascii="宋体" w:hAnsi="宋体" w:hint="eastAsia"/>
          <w:b/>
          <w:bCs/>
          <w:color w:val="000000"/>
          <w:kern w:val="0"/>
          <w:sz w:val="22"/>
          <w:lang w:val="zh-CN"/>
        </w:rPr>
        <w:t>对</w:t>
      </w:r>
      <w:r>
        <w:rPr>
          <w:rFonts w:ascii="宋体" w:hAnsi="宋体"/>
          <w:b/>
          <w:bCs/>
          <w:color w:val="000000"/>
          <w:kern w:val="0"/>
          <w:sz w:val="22"/>
          <w:lang w:val="zh-CN"/>
        </w:rPr>
        <w:t>本产品说明书进行解释。</w:t>
      </w:r>
    </w:p>
    <w:p w:rsidR="008319DB" w:rsidRDefault="008319DB">
      <w:pPr>
        <w:rPr>
          <w:rFonts w:ascii="宋体" w:hAnsi="宋体" w:cs="Arial"/>
          <w:color w:val="FF0000"/>
          <w:sz w:val="24"/>
        </w:rPr>
      </w:pPr>
    </w:p>
    <w:p w:rsidR="008319DB" w:rsidRDefault="000D0DF8">
      <w:pPr>
        <w:rPr>
          <w:rFonts w:ascii="宋体" w:hAnsi="宋体" w:cs="Arial"/>
          <w:sz w:val="24"/>
        </w:rPr>
      </w:pPr>
      <w:r>
        <w:rPr>
          <w:rFonts w:ascii="宋体" w:hAnsi="宋体" w:cs="Arial"/>
          <w:sz w:val="24"/>
        </w:rPr>
        <w:t>风险提示</w:t>
      </w:r>
    </w:p>
    <w:p w:rsidR="008319DB" w:rsidRDefault="000D0DF8">
      <w:pPr>
        <w:rPr>
          <w:rFonts w:ascii="宋体" w:hAnsi="宋体" w:cs="Arial"/>
          <w:color w:val="333333"/>
          <w:kern w:val="0"/>
          <w:sz w:val="24"/>
        </w:rPr>
      </w:pPr>
      <w:r>
        <w:rPr>
          <w:rFonts w:ascii="宋体" w:hAnsi="宋体" w:cs="Arial"/>
          <w:bCs/>
          <w:sz w:val="24"/>
        </w:rPr>
        <w:t>投资本理财计划有风险，投资者应充分认识以下风险，谨慎投资：</w:t>
      </w:r>
    </w:p>
    <w:p w:rsidR="008319DB" w:rsidRDefault="000D0DF8">
      <w:pPr>
        <w:numPr>
          <w:ilvl w:val="0"/>
          <w:numId w:val="2"/>
        </w:numPr>
        <w:rPr>
          <w:rFonts w:ascii="宋体" w:hAnsi="宋体" w:cs="Arial"/>
          <w:b/>
          <w:bCs/>
          <w:sz w:val="24"/>
        </w:rPr>
      </w:pPr>
      <w:r>
        <w:rPr>
          <w:rFonts w:ascii="宋体" w:hAnsi="宋体" w:cs="Arial" w:hint="eastAsia"/>
          <w:b/>
          <w:bCs/>
          <w:sz w:val="24"/>
        </w:rPr>
        <w:t>本金及理财收益风险：本理财计划不保障本金及理财收益。</w:t>
      </w:r>
      <w:r w:rsidR="00127D41" w:rsidRPr="00127D41">
        <w:rPr>
          <w:rFonts w:ascii="宋体" w:hAnsi="宋体" w:cs="Arial" w:hint="eastAsia"/>
          <w:b/>
          <w:bCs/>
          <w:sz w:val="24"/>
        </w:rPr>
        <w:t>本理财计划不保证本金的偿付，但本金风险相对较小，收益浮动相对可控，您的本金可能会因市场变动而蒙受重大损失，您应充分认识投资风险，谨慎投资。</w:t>
      </w:r>
      <w:r>
        <w:rPr>
          <w:rFonts w:ascii="宋体" w:hAnsi="宋体" w:cs="Arial" w:hint="eastAsia"/>
          <w:b/>
          <w:bCs/>
          <w:sz w:val="24"/>
        </w:rPr>
        <w:t>本理财计划</w:t>
      </w:r>
      <w:r>
        <w:rPr>
          <w:rFonts w:ascii="宋体" w:hAnsi="宋体" w:cs="Arial"/>
          <w:b/>
          <w:bCs/>
          <w:sz w:val="24"/>
        </w:rPr>
        <w:t>理财收益来源于本理财计划项下投资组合的回报，容易受到市场的变化、所投资组合的运作情况以及投资管理方投资能力的影响，在最不利的情况下，本理财计划有可能损失全部本金，则由此产生的本金和理财收益不确定的风险由投资者自行承担。</w:t>
      </w:r>
    </w:p>
    <w:p w:rsidR="008319DB" w:rsidRDefault="000D0DF8">
      <w:pPr>
        <w:numPr>
          <w:ilvl w:val="0"/>
          <w:numId w:val="2"/>
        </w:numPr>
        <w:rPr>
          <w:rFonts w:ascii="宋体" w:hAnsi="宋体" w:cs="Arial"/>
          <w:b/>
          <w:bCs/>
          <w:sz w:val="24"/>
        </w:rPr>
      </w:pPr>
      <w:r>
        <w:rPr>
          <w:rFonts w:ascii="宋体" w:hAnsi="宋体" w:cs="Arial" w:hint="eastAsia"/>
          <w:b/>
          <w:bCs/>
          <w:sz w:val="24"/>
        </w:rPr>
        <w:t>管理人</w:t>
      </w:r>
      <w:r>
        <w:rPr>
          <w:rFonts w:ascii="宋体" w:hAnsi="宋体" w:cs="Arial"/>
          <w:b/>
          <w:bCs/>
          <w:sz w:val="24"/>
        </w:rPr>
        <w:t>风险：由于投资管理人受经验、技能等因素的限制，会影响本理财计划项下投资的回报率，可能导致本计划项下的投资收益低于预期甚至出现本金亏损</w:t>
      </w:r>
    </w:p>
    <w:p w:rsidR="008319DB" w:rsidRDefault="000D0DF8">
      <w:pPr>
        <w:numPr>
          <w:ilvl w:val="0"/>
          <w:numId w:val="2"/>
        </w:numPr>
        <w:rPr>
          <w:rFonts w:ascii="宋体" w:hAnsi="宋体" w:cs="Arial"/>
          <w:b/>
          <w:bCs/>
          <w:sz w:val="24"/>
        </w:rPr>
      </w:pPr>
      <w:r>
        <w:rPr>
          <w:rFonts w:ascii="宋体" w:hAnsi="宋体" w:cs="Arial"/>
          <w:b/>
          <w:bCs/>
          <w:sz w:val="24"/>
        </w:rPr>
        <w:t>政策风险：本理财计划是针对当前的相关法规和政策设计的。如国家宏观政策以及市场相关法规政策发生变化，可能影响理财计划的受理、投资、偿还等的正常进行，导致本理财计划收益降低甚至本金损失。</w:t>
      </w:r>
    </w:p>
    <w:p w:rsidR="008319DB" w:rsidRDefault="000D0DF8">
      <w:pPr>
        <w:numPr>
          <w:ilvl w:val="0"/>
          <w:numId w:val="2"/>
        </w:numPr>
        <w:rPr>
          <w:rFonts w:ascii="宋体" w:hAnsi="宋体" w:cs="Arial"/>
          <w:b/>
          <w:bCs/>
          <w:sz w:val="24"/>
        </w:rPr>
      </w:pPr>
      <w:r>
        <w:rPr>
          <w:rFonts w:ascii="宋体" w:hAnsi="宋体" w:cs="Arial"/>
          <w:b/>
          <w:kern w:val="0"/>
          <w:sz w:val="24"/>
        </w:rPr>
        <w:t>延期风险：如因理财计划所投资的资产变现等原因造成理财计划不能按时返还投资者款项，理财期限将相应延长。</w:t>
      </w:r>
    </w:p>
    <w:p w:rsidR="008319DB" w:rsidRDefault="000D0DF8">
      <w:pPr>
        <w:numPr>
          <w:ilvl w:val="0"/>
          <w:numId w:val="2"/>
        </w:numPr>
        <w:rPr>
          <w:rFonts w:ascii="宋体" w:hAnsi="宋体" w:cs="Arial"/>
          <w:b/>
          <w:bCs/>
          <w:sz w:val="24"/>
        </w:rPr>
      </w:pPr>
      <w:r>
        <w:rPr>
          <w:rFonts w:ascii="宋体" w:hAnsi="宋体" w:cs="Arial"/>
          <w:b/>
          <w:bCs/>
          <w:sz w:val="24"/>
        </w:rPr>
        <w:t>流动性风险：在本理财计划存续期内，投资者只能在本产品说明书规定的</w:t>
      </w:r>
      <w:r>
        <w:rPr>
          <w:rFonts w:ascii="宋体" w:hAnsi="宋体" w:cs="Arial" w:hint="eastAsia"/>
          <w:b/>
          <w:bCs/>
          <w:sz w:val="24"/>
        </w:rPr>
        <w:t>申</w:t>
      </w:r>
      <w:r>
        <w:rPr>
          <w:rFonts w:ascii="宋体" w:hAnsi="宋体" w:cs="Arial" w:hint="eastAsia"/>
          <w:b/>
          <w:bCs/>
          <w:sz w:val="24"/>
        </w:rPr>
        <w:lastRenderedPageBreak/>
        <w:t>购、</w:t>
      </w:r>
      <w:r>
        <w:rPr>
          <w:rFonts w:ascii="宋体" w:hAnsi="宋体" w:cs="Arial"/>
          <w:b/>
          <w:bCs/>
          <w:sz w:val="24"/>
        </w:rPr>
        <w:t>赎回</w:t>
      </w:r>
      <w:r>
        <w:rPr>
          <w:rFonts w:ascii="宋体" w:hAnsi="宋体" w:cs="Arial" w:hint="eastAsia"/>
          <w:b/>
          <w:bCs/>
          <w:sz w:val="24"/>
        </w:rPr>
        <w:t>的交易日</w:t>
      </w:r>
      <w:r>
        <w:rPr>
          <w:rFonts w:ascii="宋体" w:hAnsi="宋体" w:cs="Arial"/>
          <w:b/>
          <w:bCs/>
          <w:sz w:val="24"/>
        </w:rPr>
        <w:t>内办理赎回，除此</w:t>
      </w:r>
      <w:r>
        <w:rPr>
          <w:rFonts w:ascii="宋体" w:hAnsi="宋体" w:cs="Arial" w:hint="eastAsia"/>
          <w:b/>
          <w:bCs/>
          <w:sz w:val="24"/>
        </w:rPr>
        <w:t>交易日</w:t>
      </w:r>
      <w:r>
        <w:rPr>
          <w:rFonts w:ascii="宋体" w:hAnsi="宋体" w:cs="Arial"/>
          <w:b/>
          <w:bCs/>
          <w:sz w:val="24"/>
        </w:rPr>
        <w:t>外，在本理财计划存续期内不享有赎回权利。此外，在理财计划存续期内任一</w:t>
      </w:r>
      <w:r>
        <w:rPr>
          <w:rFonts w:ascii="宋体" w:hAnsi="宋体" w:cs="Arial" w:hint="eastAsia"/>
          <w:b/>
          <w:bCs/>
          <w:sz w:val="24"/>
        </w:rPr>
        <w:t>申购、赎回的</w:t>
      </w:r>
      <w:r>
        <w:rPr>
          <w:rFonts w:ascii="宋体" w:hAnsi="宋体" w:cs="Arial"/>
          <w:b/>
          <w:bCs/>
          <w:sz w:val="24"/>
        </w:rPr>
        <w:t>交易日，若理财计划赎回额超过本理财计划上一工作日份额的</w:t>
      </w:r>
      <w:r>
        <w:rPr>
          <w:rFonts w:ascii="宋体" w:hAnsi="宋体" w:cs="Arial" w:hint="eastAsia"/>
          <w:b/>
          <w:bCs/>
          <w:sz w:val="24"/>
        </w:rPr>
        <w:t>1</w:t>
      </w:r>
      <w:r>
        <w:rPr>
          <w:rFonts w:ascii="宋体" w:hAnsi="宋体" w:cs="Arial"/>
          <w:b/>
          <w:bCs/>
          <w:sz w:val="24"/>
        </w:rPr>
        <w:t>0%时，即为发生大额赎回，此时招商银行有权拒绝超额部分的赎回申请，可能影响投资者的资金安排，带来流动性风险。</w:t>
      </w:r>
    </w:p>
    <w:p w:rsidR="008319DB" w:rsidRDefault="000D0DF8">
      <w:pPr>
        <w:numPr>
          <w:ilvl w:val="0"/>
          <w:numId w:val="2"/>
        </w:numPr>
        <w:rPr>
          <w:rFonts w:ascii="宋体" w:hAnsi="宋体" w:cs="Arial"/>
          <w:b/>
          <w:bCs/>
          <w:sz w:val="24"/>
        </w:rPr>
      </w:pPr>
      <w:r>
        <w:rPr>
          <w:rFonts w:ascii="宋体" w:hAnsi="宋体" w:cs="Arial"/>
          <w:b/>
          <w:kern w:val="0"/>
          <w:sz w:val="24"/>
        </w:rPr>
        <w:t>再投资风险：如果招商银行在特定情况下提前终止理财，则该理财计划的实际理财期可能小于预定期限，投资者将无法实现期初预期的全部收益。</w:t>
      </w:r>
    </w:p>
    <w:p w:rsidR="008319DB" w:rsidRDefault="000D0DF8">
      <w:pPr>
        <w:numPr>
          <w:ilvl w:val="0"/>
          <w:numId w:val="2"/>
        </w:numPr>
        <w:rPr>
          <w:rFonts w:ascii="宋体" w:hAnsi="宋体" w:cs="Arial"/>
          <w:b/>
          <w:bCs/>
          <w:sz w:val="24"/>
        </w:rPr>
      </w:pPr>
      <w:r>
        <w:rPr>
          <w:rFonts w:ascii="宋体" w:hAnsi="宋体" w:cs="Arial"/>
          <w:b/>
          <w:bCs/>
          <w:sz w:val="24"/>
        </w:rPr>
        <w:t>信息传递风险：</w:t>
      </w:r>
      <w:r>
        <w:rPr>
          <w:rFonts w:ascii="宋体" w:hAnsi="宋体" w:cs="Arial" w:hint="eastAsia"/>
          <w:b/>
          <w:kern w:val="0"/>
          <w:sz w:val="24"/>
        </w:rPr>
        <w:t>本理财计划存续期内不提供估值，不提供账单，投资者应根据本理财计划说明书所载明的公告方式及时查询本理财计划的相关信息。招商银行按照本说明书有关</w:t>
      </w:r>
      <w:r>
        <w:rPr>
          <w:rFonts w:ascii="宋体" w:hAnsi="宋体" w:cs="Arial"/>
          <w:b/>
          <w:kern w:val="0"/>
          <w:sz w:val="24"/>
        </w:rPr>
        <w:t>“</w:t>
      </w:r>
      <w:r>
        <w:rPr>
          <w:rFonts w:ascii="宋体" w:hAnsi="宋体" w:cs="Arial" w:hint="eastAsia"/>
          <w:b/>
          <w:kern w:val="0"/>
          <w:sz w:val="24"/>
        </w:rPr>
        <w:t>信息公告</w:t>
      </w:r>
      <w:r>
        <w:rPr>
          <w:rFonts w:ascii="宋体" w:hAnsi="宋体" w:cs="Arial"/>
          <w:b/>
          <w:kern w:val="0"/>
          <w:sz w:val="24"/>
        </w:rPr>
        <w:t>”</w:t>
      </w:r>
      <w:r>
        <w:rPr>
          <w:rFonts w:ascii="宋体" w:hAnsi="宋体" w:cs="Arial" w:hint="eastAsia"/>
          <w:b/>
          <w:kern w:val="0"/>
          <w:sz w:val="24"/>
        </w:rPr>
        <w:t>的约定，发布理财计划的信息公告。投资者应根据</w:t>
      </w:r>
      <w:r>
        <w:rPr>
          <w:rFonts w:ascii="宋体" w:hAnsi="宋体" w:cs="Arial"/>
          <w:b/>
          <w:kern w:val="0"/>
          <w:sz w:val="24"/>
        </w:rPr>
        <w:t>“</w:t>
      </w:r>
      <w:r>
        <w:rPr>
          <w:rFonts w:ascii="宋体" w:hAnsi="宋体" w:cs="Arial" w:hint="eastAsia"/>
          <w:b/>
          <w:kern w:val="0"/>
          <w:sz w:val="24"/>
        </w:rPr>
        <w:t>信息公告</w:t>
      </w:r>
      <w:r>
        <w:rPr>
          <w:rFonts w:ascii="宋体" w:hAnsi="宋体" w:cs="Arial"/>
          <w:b/>
          <w:kern w:val="0"/>
          <w:sz w:val="24"/>
        </w:rPr>
        <w:t>”</w:t>
      </w:r>
      <w:r>
        <w:rPr>
          <w:rFonts w:ascii="宋体" w:hAnsi="宋体" w:cs="Arial" w:hint="eastAsia"/>
          <w:b/>
          <w:kern w:val="0"/>
          <w:sz w:val="24"/>
        </w:rPr>
        <w:t>的约定及时登录招商银行网站或致电招商银行全国统一客户服务热线（</w:t>
      </w:r>
      <w:r>
        <w:rPr>
          <w:rFonts w:ascii="宋体" w:hAnsi="宋体" w:cs="Arial"/>
          <w:b/>
          <w:kern w:val="0"/>
          <w:sz w:val="24"/>
        </w:rPr>
        <w:t>95555</w:t>
      </w:r>
      <w:r>
        <w:rPr>
          <w:rFonts w:ascii="宋体" w:hAnsi="宋体" w:cs="Arial" w:hint="eastAsia"/>
          <w:b/>
          <w:kern w:val="0"/>
          <w:sz w:val="24"/>
        </w:rPr>
        <w:t>）或到招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8319DB" w:rsidRDefault="000D0DF8">
      <w:pPr>
        <w:numPr>
          <w:ilvl w:val="0"/>
          <w:numId w:val="2"/>
        </w:numPr>
        <w:rPr>
          <w:rFonts w:ascii="宋体" w:hAnsi="宋体" w:cs="Arial"/>
          <w:b/>
          <w:bCs/>
          <w:sz w:val="24"/>
        </w:rPr>
      </w:pPr>
      <w:r>
        <w:rPr>
          <w:rFonts w:ascii="宋体" w:hAnsi="宋体" w:cs="Arial"/>
          <w:b/>
          <w:kern w:val="0"/>
          <w:sz w:val="24"/>
        </w:rPr>
        <w:t>理财计划不成立风险：如果自本理财计划开始认购至认购结束的</w:t>
      </w:r>
      <w:r>
        <w:rPr>
          <w:rFonts w:ascii="宋体" w:hAnsi="宋体" w:cs="Arial" w:hint="eastAsia"/>
          <w:b/>
          <w:kern w:val="0"/>
          <w:sz w:val="24"/>
        </w:rPr>
        <w:t>时，</w:t>
      </w:r>
      <w:r>
        <w:rPr>
          <w:rFonts w:ascii="宋体" w:hAnsi="宋体" w:cs="Arial"/>
          <w:b/>
          <w:kern w:val="0"/>
          <w:sz w:val="24"/>
        </w:rPr>
        <w:t>本理财计划的认购金额未达到认购下限</w:t>
      </w:r>
      <w:r>
        <w:rPr>
          <w:rFonts w:ascii="宋体" w:hAnsi="宋体" w:cs="Arial" w:hint="eastAsia"/>
          <w:b/>
          <w:kern w:val="0"/>
          <w:sz w:val="24"/>
        </w:rPr>
        <w:t>(如有)</w:t>
      </w:r>
      <w:r>
        <w:rPr>
          <w:rFonts w:ascii="宋体" w:hAnsi="宋体" w:cs="Arial"/>
          <w:b/>
          <w:kern w:val="0"/>
          <w:sz w:val="24"/>
        </w:rPr>
        <w:t>，或国家宏观政策以及市场相关法规政策发生变化，或市场发生剧烈波动，</w:t>
      </w:r>
      <w:r>
        <w:rPr>
          <w:rFonts w:ascii="宋体" w:hAnsi="宋体" w:cs="Arial" w:hint="eastAsia"/>
          <w:b/>
          <w:kern w:val="0"/>
          <w:sz w:val="24"/>
        </w:rPr>
        <w:t>且</w:t>
      </w:r>
      <w:r>
        <w:rPr>
          <w:rFonts w:ascii="宋体" w:hAnsi="宋体" w:cs="Arial"/>
          <w:b/>
          <w:kern w:val="0"/>
          <w:sz w:val="24"/>
        </w:rPr>
        <w:t>经招商银行合理判断难以按照产品说明书规定向投资者提供理财计划，招商银行有权宣布本理财计划不成立。</w:t>
      </w:r>
    </w:p>
    <w:p w:rsidR="008319DB" w:rsidRDefault="000D0DF8">
      <w:pPr>
        <w:numPr>
          <w:ilvl w:val="0"/>
          <w:numId w:val="2"/>
        </w:numPr>
        <w:rPr>
          <w:rFonts w:ascii="宋体" w:hAnsi="宋体" w:cs="Arial"/>
          <w:b/>
          <w:bCs/>
          <w:sz w:val="24"/>
        </w:rPr>
      </w:pPr>
      <w:r>
        <w:rPr>
          <w:rFonts w:ascii="宋体" w:hAnsi="宋体" w:cs="Arial"/>
          <w:b/>
          <w:bCs/>
          <w:sz w:val="24"/>
        </w:rPr>
        <w:t>不可抗力风险：指由于自然灾害、战争等不可抗力因素的出现，可能影响理财计划的受理、投资、偿还等的正常进行，甚至导致本理财计划收益降低和本金损失</w:t>
      </w:r>
      <w:r>
        <w:rPr>
          <w:rFonts w:ascii="宋体" w:hAnsi="宋体" w:cs="Arial" w:hint="eastAsia"/>
          <w:b/>
          <w:bCs/>
          <w:sz w:val="24"/>
        </w:rPr>
        <w:t>的风险</w:t>
      </w:r>
      <w:r>
        <w:rPr>
          <w:rFonts w:ascii="宋体" w:hAnsi="宋体" w:cs="Arial"/>
          <w:b/>
          <w:bCs/>
          <w:sz w:val="24"/>
        </w:rPr>
        <w:t>。</w:t>
      </w:r>
    </w:p>
    <w:p w:rsidR="008319DB" w:rsidRDefault="008319DB">
      <w:pPr>
        <w:adjustRightInd w:val="0"/>
        <w:snapToGrid w:val="0"/>
        <w:jc w:val="left"/>
        <w:rPr>
          <w:rFonts w:ascii="宋体" w:hAnsi="宋体" w:cs="Arial"/>
          <w:b/>
          <w:kern w:val="0"/>
          <w:sz w:val="24"/>
        </w:rPr>
      </w:pPr>
    </w:p>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b/>
          <w:sz w:val="24"/>
        </w:rPr>
        <w:t>产品风险评级 R</w:t>
      </w:r>
      <w:r>
        <w:rPr>
          <w:rFonts w:ascii="宋体" w:hAnsi="宋体" w:cs="Arial" w:hint="eastAsia"/>
          <w:b/>
          <w:sz w:val="24"/>
        </w:rPr>
        <w:t>2</w:t>
      </w:r>
    </w:p>
    <w:p w:rsidR="008319DB" w:rsidRDefault="00F34EB2">
      <w:pPr>
        <w:rPr>
          <w:rFonts w:ascii="宋体" w:hAnsi="宋体" w:cs="Arial"/>
          <w:color w:val="333333"/>
          <w:kern w:val="0"/>
          <w:sz w:val="18"/>
          <w:szCs w:val="18"/>
        </w:rPr>
      </w:pPr>
      <w:r>
        <w:rPr>
          <w:rFonts w:ascii="宋体" w:hAnsi="宋体" w:cs="Arial"/>
          <w:noProof/>
          <w:color w:val="333333"/>
          <w:kern w:val="0"/>
          <w:sz w:val="18"/>
          <w:szCs w:val="18"/>
        </w:rPr>
        <w:drawing>
          <wp:inline distT="0" distB="0" distL="0" distR="0">
            <wp:extent cx="3200400" cy="2219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0400" cy="2219325"/>
                    </a:xfrm>
                    <a:prstGeom prst="rect">
                      <a:avLst/>
                    </a:prstGeom>
                    <a:noFill/>
                    <a:ln w="9525">
                      <a:noFill/>
                      <a:miter lim="800000"/>
                      <a:headEnd/>
                      <a:tailEnd/>
                    </a:ln>
                  </pic:spPr>
                </pic:pic>
              </a:graphicData>
            </a:graphic>
          </wp:inline>
        </w:drawing>
      </w:r>
    </w:p>
    <w:p w:rsidR="008319DB" w:rsidRDefault="000D0DF8">
      <w:pPr>
        <w:rPr>
          <w:rFonts w:ascii="宋体" w:hAnsi="宋体" w:cs="Arial"/>
          <w:b/>
          <w:color w:val="333333"/>
          <w:kern w:val="0"/>
          <w:sz w:val="24"/>
        </w:rPr>
      </w:pPr>
      <w:r>
        <w:rPr>
          <w:rFonts w:ascii="宋体" w:hAnsi="宋体" w:cs="Arial"/>
          <w:b/>
          <w:color w:val="333333"/>
          <w:kern w:val="0"/>
          <w:sz w:val="24"/>
        </w:rPr>
        <w:t>（本评级为招商银行内部评级，仅供参考）</w:t>
      </w:r>
    </w:p>
    <w:p w:rsidR="008319DB" w:rsidRDefault="008319DB">
      <w:pPr>
        <w:rPr>
          <w:rFonts w:ascii="宋体" w:hAnsi="宋体" w:cs="Arial"/>
          <w:b/>
          <w:sz w:val="24"/>
        </w:rPr>
      </w:pPr>
    </w:p>
    <w:p w:rsidR="008319DB" w:rsidRDefault="008319DB">
      <w:pPr>
        <w:rPr>
          <w:rFonts w:ascii="宋体" w:hAnsi="宋体" w:cs="Arial"/>
          <w:b/>
          <w:sz w:val="24"/>
        </w:rPr>
      </w:pPr>
    </w:p>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b/>
          <w:sz w:val="24"/>
        </w:rPr>
        <w:t>投资方向</w:t>
      </w:r>
      <w:r>
        <w:rPr>
          <w:rFonts w:ascii="宋体" w:hAnsi="宋体" w:cs="Arial" w:hint="eastAsia"/>
          <w:b/>
          <w:sz w:val="24"/>
        </w:rPr>
        <w:t>、</w:t>
      </w:r>
      <w:r>
        <w:rPr>
          <w:rFonts w:ascii="宋体" w:hAnsi="宋体" w:cs="Arial"/>
          <w:b/>
          <w:sz w:val="24"/>
        </w:rPr>
        <w:t>范围</w:t>
      </w:r>
      <w:r>
        <w:rPr>
          <w:rFonts w:ascii="宋体" w:hAnsi="宋体" w:cs="Arial" w:hint="eastAsia"/>
          <w:b/>
          <w:sz w:val="24"/>
        </w:rPr>
        <w:t>和比例</w:t>
      </w:r>
    </w:p>
    <w:p w:rsidR="008319DB" w:rsidRDefault="000D0DF8">
      <w:pPr>
        <w:rPr>
          <w:rFonts w:ascii="宋体" w:hAnsi="宋体"/>
          <w:sz w:val="22"/>
          <w:szCs w:val="22"/>
        </w:rPr>
      </w:pPr>
      <w:r>
        <w:rPr>
          <w:rFonts w:ascii="宋体" w:hAnsi="宋体"/>
          <w:sz w:val="22"/>
          <w:szCs w:val="22"/>
        </w:rPr>
        <w:t>本理财计划资金由招商银行投资于</w:t>
      </w:r>
      <w:r>
        <w:rPr>
          <w:rFonts w:ascii="宋体" w:hAnsi="宋体" w:hint="eastAsia"/>
          <w:sz w:val="22"/>
          <w:szCs w:val="22"/>
        </w:rPr>
        <w:t>银行间和交易所市场信用级别较高、流动性较好的金融资产和金融工具，包括但不限于债券、资产支持证券、理财直接融资工具、资金拆借、逆回购、银行存款</w:t>
      </w:r>
      <w:r w:rsidR="00BD7E2D">
        <w:rPr>
          <w:rFonts w:ascii="宋体" w:hAnsi="宋体" w:hint="eastAsia"/>
          <w:color w:val="000000"/>
          <w:sz w:val="22"/>
          <w:szCs w:val="22"/>
        </w:rPr>
        <w:t>、券商收益凭证</w:t>
      </w:r>
      <w:r>
        <w:rPr>
          <w:rFonts w:ascii="宋体" w:hAnsi="宋体" w:hint="eastAsia"/>
          <w:sz w:val="22"/>
          <w:szCs w:val="22"/>
        </w:rPr>
        <w:t>等，并可通过信托计划、定向资产管理计划等资产管理计划进行投资。</w:t>
      </w:r>
    </w:p>
    <w:p w:rsidR="008319DB" w:rsidRDefault="008319DB">
      <w:pPr>
        <w:rPr>
          <w:rFonts w:ascii="宋体" w:hAnsi="宋体"/>
          <w:sz w:val="22"/>
          <w:szCs w:val="22"/>
        </w:rPr>
      </w:pPr>
    </w:p>
    <w:p w:rsidR="008319DB" w:rsidRDefault="000D0DF8">
      <w:pPr>
        <w:rPr>
          <w:rFonts w:ascii="宋体" w:hAnsi="宋体"/>
          <w:sz w:val="22"/>
          <w:szCs w:val="22"/>
        </w:rPr>
      </w:pPr>
      <w:r>
        <w:rPr>
          <w:rFonts w:ascii="宋体" w:hAnsi="宋体" w:hint="eastAsia"/>
          <w:sz w:val="22"/>
          <w:szCs w:val="22"/>
        </w:rPr>
        <w:t>投资比例区间（</w:t>
      </w:r>
      <w:r>
        <w:rPr>
          <w:rFonts w:ascii="宋体" w:hAnsi="宋体" w:hint="eastAsia"/>
          <w:b/>
          <w:sz w:val="22"/>
          <w:szCs w:val="22"/>
        </w:rPr>
        <w:t>理财产品存续期内可能因市场的重大变化导致投资比例暂时超出上述区间，银行将尽合理努力，以客户利益最大化为原则尽快使投资比例恢复至上述规定区间</w:t>
      </w:r>
      <w:r>
        <w:rPr>
          <w:rFonts w:ascii="宋体" w:hAnsi="宋体" w:hint="eastAsia"/>
          <w:sz w:val="22"/>
          <w:szCs w:val="22"/>
        </w:rPr>
        <w:t>）</w:t>
      </w:r>
    </w:p>
    <w:tbl>
      <w:tblPr>
        <w:tblStyle w:val="af1"/>
        <w:tblW w:w="6546" w:type="dxa"/>
        <w:tblInd w:w="1034" w:type="dxa"/>
        <w:tblLayout w:type="fixed"/>
        <w:tblLook w:val="04A0"/>
      </w:tblPr>
      <w:tblGrid>
        <w:gridCol w:w="4944"/>
        <w:gridCol w:w="1602"/>
      </w:tblGrid>
      <w:tr w:rsidR="008319DB">
        <w:trPr>
          <w:trHeight w:val="319"/>
        </w:trPr>
        <w:tc>
          <w:tcPr>
            <w:tcW w:w="4944" w:type="dxa"/>
          </w:tcPr>
          <w:p w:rsidR="007F3DB8" w:rsidRDefault="000D0DF8" w:rsidP="007F3DB8">
            <w:pPr>
              <w:jc w:val="center"/>
            </w:pPr>
            <w:r>
              <w:rPr>
                <w:rFonts w:hint="eastAsia"/>
              </w:rPr>
              <w:t>投资品种</w:t>
            </w:r>
          </w:p>
        </w:tc>
        <w:tc>
          <w:tcPr>
            <w:tcW w:w="1602" w:type="dxa"/>
          </w:tcPr>
          <w:p w:rsidR="008319DB" w:rsidRDefault="000D0DF8">
            <w:r>
              <w:rPr>
                <w:rFonts w:hint="eastAsia"/>
              </w:rPr>
              <w:t>计划配置比例</w:t>
            </w:r>
          </w:p>
        </w:tc>
      </w:tr>
      <w:tr w:rsidR="008319DB">
        <w:trPr>
          <w:trHeight w:val="319"/>
        </w:trPr>
        <w:tc>
          <w:tcPr>
            <w:tcW w:w="4944" w:type="dxa"/>
          </w:tcPr>
          <w:p w:rsidR="005D6326" w:rsidRDefault="000D0DF8">
            <w:pPr>
              <w:jc w:val="center"/>
            </w:pPr>
            <w:r>
              <w:rPr>
                <w:rFonts w:hint="eastAsia"/>
              </w:rPr>
              <w:t>国债、政策性金融债、央行票据</w:t>
            </w:r>
          </w:p>
        </w:tc>
        <w:tc>
          <w:tcPr>
            <w:tcW w:w="1602" w:type="dxa"/>
          </w:tcPr>
          <w:p w:rsidR="005D6326" w:rsidRDefault="000D0DF8">
            <w:pPr>
              <w:jc w:val="center"/>
              <w:rPr>
                <w:rFonts w:ascii="宋体" w:hAnsi="宋体"/>
                <w:sz w:val="22"/>
                <w:szCs w:val="22"/>
              </w:rPr>
            </w:pPr>
            <w:r>
              <w:rPr>
                <w:rFonts w:ascii="宋体" w:hAnsi="宋体"/>
                <w:sz w:val="22"/>
                <w:szCs w:val="22"/>
              </w:rPr>
              <w:t>0%-40%</w:t>
            </w:r>
          </w:p>
        </w:tc>
      </w:tr>
      <w:tr w:rsidR="008319DB">
        <w:trPr>
          <w:trHeight w:val="319"/>
        </w:trPr>
        <w:tc>
          <w:tcPr>
            <w:tcW w:w="4944" w:type="dxa"/>
          </w:tcPr>
          <w:p w:rsidR="005D6326" w:rsidRDefault="000D0DF8">
            <w:pPr>
              <w:jc w:val="center"/>
            </w:pPr>
            <w:r>
              <w:rPr>
                <w:rFonts w:hint="eastAsia"/>
              </w:rPr>
              <w:t>银行间及交易所债券资产</w:t>
            </w:r>
          </w:p>
        </w:tc>
        <w:tc>
          <w:tcPr>
            <w:tcW w:w="1602" w:type="dxa"/>
          </w:tcPr>
          <w:p w:rsidR="005D6326" w:rsidRDefault="000D0DF8">
            <w:pPr>
              <w:jc w:val="center"/>
              <w:rPr>
                <w:rFonts w:ascii="宋体" w:hAnsi="宋体"/>
                <w:sz w:val="22"/>
                <w:szCs w:val="22"/>
              </w:rPr>
            </w:pPr>
            <w:r>
              <w:rPr>
                <w:rFonts w:ascii="宋体" w:hAnsi="宋体"/>
                <w:sz w:val="22"/>
                <w:szCs w:val="22"/>
              </w:rPr>
              <w:t>30%-100%</w:t>
            </w:r>
          </w:p>
        </w:tc>
      </w:tr>
      <w:tr w:rsidR="008319DB">
        <w:trPr>
          <w:trHeight w:val="319"/>
        </w:trPr>
        <w:tc>
          <w:tcPr>
            <w:tcW w:w="4944" w:type="dxa"/>
          </w:tcPr>
          <w:p w:rsidR="005D6326" w:rsidRDefault="000D0DF8">
            <w:pPr>
              <w:jc w:val="center"/>
            </w:pPr>
            <w:r>
              <w:rPr>
                <w:rFonts w:hint="eastAsia"/>
              </w:rPr>
              <w:t>理财直接融资工具</w:t>
            </w:r>
          </w:p>
        </w:tc>
        <w:tc>
          <w:tcPr>
            <w:tcW w:w="1602" w:type="dxa"/>
          </w:tcPr>
          <w:p w:rsidR="005D6326" w:rsidRDefault="000D0DF8">
            <w:pPr>
              <w:jc w:val="center"/>
              <w:rPr>
                <w:rFonts w:ascii="宋体" w:hAnsi="宋体"/>
                <w:sz w:val="22"/>
                <w:szCs w:val="22"/>
              </w:rPr>
            </w:pPr>
            <w:r>
              <w:rPr>
                <w:rFonts w:ascii="宋体" w:hAnsi="宋体"/>
                <w:sz w:val="22"/>
                <w:szCs w:val="22"/>
              </w:rPr>
              <w:t>0%-50%</w:t>
            </w:r>
          </w:p>
        </w:tc>
      </w:tr>
      <w:tr w:rsidR="008319DB">
        <w:trPr>
          <w:trHeight w:val="339"/>
        </w:trPr>
        <w:tc>
          <w:tcPr>
            <w:tcW w:w="4944" w:type="dxa"/>
          </w:tcPr>
          <w:p w:rsidR="005D6326" w:rsidRDefault="000D0DF8">
            <w:pPr>
              <w:jc w:val="center"/>
            </w:pPr>
            <w:r>
              <w:rPr>
                <w:rFonts w:hint="eastAsia"/>
              </w:rPr>
              <w:t>信托计划、定向资产管理计划</w:t>
            </w:r>
            <w:r w:rsidR="0049676D">
              <w:rPr>
                <w:rFonts w:ascii="宋体" w:hAnsi="宋体" w:hint="eastAsia"/>
                <w:color w:val="000000"/>
                <w:sz w:val="22"/>
                <w:szCs w:val="22"/>
              </w:rPr>
              <w:t>、券商收益凭证</w:t>
            </w:r>
          </w:p>
        </w:tc>
        <w:tc>
          <w:tcPr>
            <w:tcW w:w="1602" w:type="dxa"/>
          </w:tcPr>
          <w:p w:rsidR="005D6326" w:rsidRDefault="000D0DF8">
            <w:pPr>
              <w:jc w:val="center"/>
              <w:rPr>
                <w:rFonts w:ascii="宋体" w:hAnsi="宋体"/>
                <w:sz w:val="22"/>
                <w:szCs w:val="22"/>
              </w:rPr>
            </w:pPr>
            <w:r>
              <w:rPr>
                <w:rFonts w:ascii="宋体" w:hAnsi="宋体"/>
                <w:sz w:val="22"/>
                <w:szCs w:val="22"/>
              </w:rPr>
              <w:t>0%-70%</w:t>
            </w:r>
          </w:p>
        </w:tc>
      </w:tr>
      <w:tr w:rsidR="006D2BB0">
        <w:trPr>
          <w:trHeight w:val="339"/>
        </w:trPr>
        <w:tc>
          <w:tcPr>
            <w:tcW w:w="4944" w:type="dxa"/>
          </w:tcPr>
          <w:p w:rsidR="005D6326" w:rsidRDefault="006D2BB0">
            <w:pPr>
              <w:jc w:val="center"/>
            </w:pPr>
            <w:r>
              <w:rPr>
                <w:rFonts w:hint="eastAsia"/>
              </w:rPr>
              <w:t>银行存款、逆回购</w:t>
            </w:r>
          </w:p>
        </w:tc>
        <w:tc>
          <w:tcPr>
            <w:tcW w:w="1602" w:type="dxa"/>
          </w:tcPr>
          <w:p w:rsidR="005D6326" w:rsidRDefault="006D2BB0">
            <w:pPr>
              <w:jc w:val="center"/>
              <w:rPr>
                <w:rFonts w:ascii="宋体" w:hAnsi="宋体"/>
                <w:sz w:val="22"/>
                <w:szCs w:val="22"/>
              </w:rPr>
            </w:pPr>
            <w:r>
              <w:rPr>
                <w:rFonts w:ascii="宋体" w:hAnsi="宋体"/>
                <w:sz w:val="22"/>
                <w:szCs w:val="22"/>
              </w:rPr>
              <w:t>0%-70%</w:t>
            </w:r>
          </w:p>
        </w:tc>
      </w:tr>
      <w:tr w:rsidR="008319DB">
        <w:trPr>
          <w:trHeight w:val="349"/>
        </w:trPr>
        <w:tc>
          <w:tcPr>
            <w:tcW w:w="4944" w:type="dxa"/>
          </w:tcPr>
          <w:p w:rsidR="005D6326" w:rsidRDefault="000D0DF8">
            <w:pPr>
              <w:jc w:val="center"/>
            </w:pPr>
            <w:r>
              <w:rPr>
                <w:rFonts w:hint="eastAsia"/>
              </w:rPr>
              <w:t>其他固定收益金融资产</w:t>
            </w:r>
          </w:p>
        </w:tc>
        <w:tc>
          <w:tcPr>
            <w:tcW w:w="1602" w:type="dxa"/>
          </w:tcPr>
          <w:p w:rsidR="005D6326" w:rsidRDefault="000D0DF8">
            <w:pPr>
              <w:jc w:val="center"/>
              <w:rPr>
                <w:rFonts w:ascii="宋体" w:hAnsi="宋体"/>
                <w:sz w:val="22"/>
                <w:szCs w:val="22"/>
              </w:rPr>
            </w:pPr>
            <w:r>
              <w:rPr>
                <w:rFonts w:ascii="宋体" w:hAnsi="宋体"/>
                <w:sz w:val="22"/>
                <w:szCs w:val="22"/>
              </w:rPr>
              <w:t>0%-70%</w:t>
            </w:r>
          </w:p>
        </w:tc>
      </w:tr>
    </w:tbl>
    <w:p w:rsidR="008319DB" w:rsidRDefault="000D0DF8">
      <w:pPr>
        <w:rPr>
          <w:rFonts w:ascii="宋体" w:hAnsi="宋体"/>
          <w:b/>
          <w:sz w:val="22"/>
          <w:szCs w:val="22"/>
        </w:rPr>
      </w:pPr>
      <w:r>
        <w:rPr>
          <w:rFonts w:ascii="宋体" w:hAnsi="宋体" w:hint="eastAsia"/>
          <w:b/>
          <w:sz w:val="22"/>
          <w:szCs w:val="22"/>
        </w:rPr>
        <w:t>银行有权根据市场情况，在不对损害投资者利益的前提下且根据约定提前公告的情况下，对本理财计划的投资范围、投资品种和投资比例进行调整。投资者对此无异议且同意在上述情况下继续持有本理财计划。</w:t>
      </w:r>
    </w:p>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b/>
          <w:sz w:val="24"/>
        </w:rPr>
        <w:t>投资管理人</w:t>
      </w:r>
    </w:p>
    <w:p w:rsidR="008319DB" w:rsidRDefault="000D0DF8">
      <w:pPr>
        <w:rPr>
          <w:rFonts w:ascii="宋体" w:hAnsi="宋体"/>
          <w:sz w:val="22"/>
          <w:szCs w:val="22"/>
        </w:rPr>
      </w:pPr>
      <w:r>
        <w:rPr>
          <w:rFonts w:ascii="宋体" w:hAnsi="宋体"/>
          <w:sz w:val="22"/>
          <w:szCs w:val="22"/>
        </w:rPr>
        <w:t>本理财计划的投资管理人为招商银行股份有限公司（以下简称“招商银行”），招商银行负责本理财计划的投资运作和产品管理。</w:t>
      </w:r>
    </w:p>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b/>
          <w:sz w:val="24"/>
        </w:rPr>
        <w:t>基本规定</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6338"/>
      </w:tblGrid>
      <w:tr w:rsidR="008319DB">
        <w:tc>
          <w:tcPr>
            <w:tcW w:w="2076" w:type="dxa"/>
          </w:tcPr>
          <w:p w:rsidR="008319DB" w:rsidRDefault="000D0DF8">
            <w:pPr>
              <w:ind w:leftChars="-15" w:left="79" w:hangingChars="50" w:hanging="110"/>
              <w:rPr>
                <w:rFonts w:ascii="宋体" w:hAnsi="宋体"/>
                <w:sz w:val="22"/>
                <w:szCs w:val="22"/>
              </w:rPr>
            </w:pPr>
            <w:r>
              <w:rPr>
                <w:rFonts w:ascii="宋体" w:hAnsi="宋体"/>
                <w:sz w:val="22"/>
                <w:szCs w:val="22"/>
              </w:rPr>
              <w:t>名称</w:t>
            </w:r>
          </w:p>
        </w:tc>
        <w:tc>
          <w:tcPr>
            <w:tcW w:w="6338" w:type="dxa"/>
          </w:tcPr>
          <w:p w:rsidR="008319DB" w:rsidRDefault="000D0DF8">
            <w:pPr>
              <w:rPr>
                <w:rFonts w:ascii="宋体" w:hAnsi="宋体"/>
                <w:sz w:val="22"/>
                <w:szCs w:val="22"/>
              </w:rPr>
            </w:pPr>
            <w:r>
              <w:rPr>
                <w:rFonts w:ascii="宋体" w:hAnsi="宋体"/>
                <w:sz w:val="22"/>
                <w:szCs w:val="22"/>
              </w:rPr>
              <w:t>招商银行“金葵花”－</w:t>
            </w:r>
            <w:r>
              <w:rPr>
                <w:rFonts w:ascii="宋体" w:hAnsi="宋体" w:hint="eastAsia"/>
                <w:sz w:val="22"/>
                <w:szCs w:val="22"/>
              </w:rPr>
              <w:t>招银进宝系列之“</w:t>
            </w:r>
            <w:r>
              <w:rPr>
                <w:rFonts w:ascii="宋体" w:hAnsi="宋体"/>
                <w:sz w:val="22"/>
                <w:szCs w:val="22"/>
              </w:rPr>
              <w:t>朝招金</w:t>
            </w:r>
            <w:r>
              <w:rPr>
                <w:rFonts w:ascii="宋体" w:hAnsi="宋体" w:hint="eastAsia"/>
                <w:sz w:val="22"/>
                <w:szCs w:val="22"/>
              </w:rPr>
              <w:t>”（多元进取型）</w:t>
            </w:r>
            <w:r>
              <w:rPr>
                <w:rFonts w:ascii="宋体" w:hAnsi="宋体"/>
                <w:sz w:val="22"/>
                <w:szCs w:val="22"/>
              </w:rPr>
              <w:t>理财计划（代码：</w:t>
            </w:r>
            <w:r>
              <w:rPr>
                <w:rFonts w:ascii="宋体" w:hAnsi="宋体" w:hint="eastAsia"/>
                <w:sz w:val="22"/>
                <w:szCs w:val="22"/>
              </w:rPr>
              <w:t>8197</w:t>
            </w:r>
            <w:r>
              <w:rPr>
                <w:rFonts w:ascii="宋体" w:hAnsi="宋体"/>
                <w:sz w:val="22"/>
                <w:szCs w:val="22"/>
              </w:rPr>
              <w:t>）</w:t>
            </w:r>
          </w:p>
        </w:tc>
      </w:tr>
      <w:tr w:rsidR="008319DB">
        <w:tc>
          <w:tcPr>
            <w:tcW w:w="2076" w:type="dxa"/>
          </w:tcPr>
          <w:p w:rsidR="008319DB" w:rsidRDefault="000D0DF8">
            <w:pPr>
              <w:rPr>
                <w:rFonts w:ascii="宋体" w:hAnsi="宋体"/>
                <w:sz w:val="22"/>
                <w:szCs w:val="22"/>
              </w:rPr>
            </w:pPr>
            <w:r>
              <w:rPr>
                <w:rFonts w:ascii="宋体" w:hAnsi="宋体"/>
                <w:sz w:val="22"/>
                <w:szCs w:val="22"/>
              </w:rPr>
              <w:t>理财币种</w:t>
            </w:r>
          </w:p>
        </w:tc>
        <w:tc>
          <w:tcPr>
            <w:tcW w:w="6338" w:type="dxa"/>
          </w:tcPr>
          <w:p w:rsidR="008319DB" w:rsidRDefault="000D0DF8">
            <w:pPr>
              <w:rPr>
                <w:rFonts w:ascii="宋体" w:hAnsi="宋体"/>
                <w:sz w:val="22"/>
                <w:szCs w:val="22"/>
              </w:rPr>
            </w:pPr>
            <w:r>
              <w:rPr>
                <w:rFonts w:ascii="宋体" w:hAnsi="宋体"/>
                <w:sz w:val="22"/>
                <w:szCs w:val="22"/>
              </w:rPr>
              <w:t>人民币</w:t>
            </w:r>
          </w:p>
        </w:tc>
      </w:tr>
      <w:tr w:rsidR="008319DB">
        <w:tc>
          <w:tcPr>
            <w:tcW w:w="2076" w:type="dxa"/>
          </w:tcPr>
          <w:p w:rsidR="008319DB" w:rsidRDefault="000D0DF8">
            <w:pPr>
              <w:rPr>
                <w:rFonts w:ascii="宋体" w:hAnsi="宋体"/>
                <w:sz w:val="22"/>
                <w:szCs w:val="22"/>
              </w:rPr>
            </w:pPr>
            <w:r>
              <w:rPr>
                <w:rFonts w:ascii="宋体" w:hAnsi="宋体"/>
                <w:sz w:val="22"/>
                <w:szCs w:val="22"/>
              </w:rPr>
              <w:t>本金及理财收益</w:t>
            </w:r>
          </w:p>
        </w:tc>
        <w:tc>
          <w:tcPr>
            <w:tcW w:w="6338" w:type="dxa"/>
          </w:tcPr>
          <w:p w:rsidR="008319DB" w:rsidRDefault="000D0DF8">
            <w:pPr>
              <w:rPr>
                <w:rFonts w:ascii="宋体" w:hAnsi="宋体"/>
                <w:sz w:val="22"/>
                <w:szCs w:val="22"/>
              </w:rPr>
            </w:pPr>
            <w:r>
              <w:rPr>
                <w:rFonts w:ascii="宋体" w:hAnsi="宋体"/>
                <w:sz w:val="22"/>
                <w:szCs w:val="22"/>
              </w:rPr>
              <w:t>本理财计划不保证本金，收益随投资收益浮动，上不封顶，下不保底，不设止损点。详细内容见以下“到期支付”。</w:t>
            </w:r>
          </w:p>
        </w:tc>
      </w:tr>
      <w:tr w:rsidR="008319DB">
        <w:trPr>
          <w:trHeight w:val="420"/>
        </w:trPr>
        <w:tc>
          <w:tcPr>
            <w:tcW w:w="2076" w:type="dxa"/>
          </w:tcPr>
          <w:p w:rsidR="008319DB" w:rsidRDefault="000D0DF8">
            <w:pPr>
              <w:rPr>
                <w:rFonts w:ascii="宋体" w:hAnsi="宋体"/>
                <w:sz w:val="22"/>
                <w:szCs w:val="22"/>
              </w:rPr>
            </w:pPr>
            <w:r>
              <w:rPr>
                <w:rFonts w:ascii="宋体" w:hAnsi="宋体"/>
                <w:sz w:val="22"/>
                <w:szCs w:val="22"/>
              </w:rPr>
              <w:t>认购起点</w:t>
            </w:r>
          </w:p>
        </w:tc>
        <w:tc>
          <w:tcPr>
            <w:tcW w:w="6338" w:type="dxa"/>
          </w:tcPr>
          <w:p w:rsidR="008319DB" w:rsidRDefault="000D0DF8" w:rsidP="0033546A">
            <w:pPr>
              <w:rPr>
                <w:rFonts w:ascii="宋体" w:hAnsi="宋体"/>
                <w:sz w:val="22"/>
                <w:szCs w:val="22"/>
              </w:rPr>
            </w:pPr>
            <w:r>
              <w:rPr>
                <w:rFonts w:ascii="宋体" w:hAnsi="宋体"/>
                <w:sz w:val="22"/>
                <w:szCs w:val="22"/>
              </w:rPr>
              <w:t>认购起点为5万份，超过认购起点部分应为1份的整数倍。详细内容见以下“理财计划认购”。</w:t>
            </w:r>
          </w:p>
        </w:tc>
      </w:tr>
      <w:tr w:rsidR="008319DB">
        <w:trPr>
          <w:trHeight w:val="653"/>
        </w:trPr>
        <w:tc>
          <w:tcPr>
            <w:tcW w:w="2076" w:type="dxa"/>
          </w:tcPr>
          <w:p w:rsidR="008319DB" w:rsidRDefault="000D0DF8">
            <w:pPr>
              <w:rPr>
                <w:rFonts w:ascii="宋体" w:hAnsi="宋体"/>
                <w:sz w:val="22"/>
                <w:szCs w:val="22"/>
              </w:rPr>
            </w:pPr>
            <w:r>
              <w:rPr>
                <w:rFonts w:ascii="宋体" w:hAnsi="宋体"/>
                <w:sz w:val="22"/>
                <w:szCs w:val="22"/>
              </w:rPr>
              <w:t>提前终止</w:t>
            </w:r>
          </w:p>
        </w:tc>
        <w:tc>
          <w:tcPr>
            <w:tcW w:w="6338" w:type="dxa"/>
          </w:tcPr>
          <w:p w:rsidR="008319DB" w:rsidRDefault="000D0DF8">
            <w:pPr>
              <w:rPr>
                <w:rFonts w:ascii="宋体" w:hAnsi="宋体"/>
                <w:sz w:val="22"/>
                <w:szCs w:val="22"/>
              </w:rPr>
            </w:pPr>
            <w:r>
              <w:rPr>
                <w:rFonts w:ascii="宋体" w:hAnsi="宋体"/>
                <w:sz w:val="22"/>
                <w:szCs w:val="22"/>
              </w:rPr>
              <w:t>本理财计划有可能提前终止，详细内容见以下“提前终止”。</w:t>
            </w:r>
          </w:p>
        </w:tc>
      </w:tr>
      <w:tr w:rsidR="008319DB">
        <w:tc>
          <w:tcPr>
            <w:tcW w:w="2076" w:type="dxa"/>
          </w:tcPr>
          <w:p w:rsidR="008319DB" w:rsidRDefault="000D0DF8">
            <w:pPr>
              <w:rPr>
                <w:rFonts w:ascii="宋体" w:hAnsi="宋体"/>
                <w:sz w:val="22"/>
                <w:szCs w:val="22"/>
              </w:rPr>
            </w:pPr>
            <w:r>
              <w:rPr>
                <w:rFonts w:ascii="宋体" w:hAnsi="宋体"/>
                <w:sz w:val="22"/>
                <w:szCs w:val="22"/>
              </w:rPr>
              <w:t>理财计划份额</w:t>
            </w:r>
          </w:p>
        </w:tc>
        <w:tc>
          <w:tcPr>
            <w:tcW w:w="6338" w:type="dxa"/>
          </w:tcPr>
          <w:p w:rsidR="008319DB" w:rsidRDefault="000D0DF8">
            <w:pPr>
              <w:rPr>
                <w:rFonts w:ascii="宋体" w:hAnsi="宋体"/>
                <w:sz w:val="22"/>
                <w:szCs w:val="22"/>
              </w:rPr>
            </w:pPr>
            <w:r>
              <w:rPr>
                <w:rFonts w:ascii="宋体" w:hAnsi="宋体"/>
                <w:sz w:val="22"/>
                <w:szCs w:val="22"/>
              </w:rPr>
              <w:t>理财计划份额以人民币计价，单位为1份。</w:t>
            </w:r>
          </w:p>
        </w:tc>
      </w:tr>
      <w:tr w:rsidR="008319DB">
        <w:tc>
          <w:tcPr>
            <w:tcW w:w="2076" w:type="dxa"/>
          </w:tcPr>
          <w:p w:rsidR="008319DB" w:rsidRDefault="000D0DF8">
            <w:pPr>
              <w:rPr>
                <w:rFonts w:ascii="宋体" w:hAnsi="宋体"/>
                <w:sz w:val="22"/>
                <w:szCs w:val="22"/>
              </w:rPr>
            </w:pPr>
            <w:r>
              <w:rPr>
                <w:rFonts w:ascii="宋体" w:hAnsi="宋体"/>
                <w:sz w:val="22"/>
                <w:szCs w:val="22"/>
              </w:rPr>
              <w:t>理财计划份额面值</w:t>
            </w:r>
          </w:p>
        </w:tc>
        <w:tc>
          <w:tcPr>
            <w:tcW w:w="6338" w:type="dxa"/>
          </w:tcPr>
          <w:p w:rsidR="008319DB" w:rsidRDefault="000D0DF8">
            <w:pPr>
              <w:rPr>
                <w:rFonts w:ascii="宋体" w:hAnsi="宋体"/>
                <w:sz w:val="22"/>
                <w:szCs w:val="22"/>
              </w:rPr>
            </w:pPr>
            <w:r>
              <w:rPr>
                <w:rFonts w:ascii="宋体" w:hAnsi="宋体"/>
                <w:sz w:val="22"/>
                <w:szCs w:val="22"/>
              </w:rPr>
              <w:t>每份理财计划份额面值为人民币1元。</w:t>
            </w:r>
          </w:p>
        </w:tc>
      </w:tr>
      <w:tr w:rsidR="008319DB">
        <w:tc>
          <w:tcPr>
            <w:tcW w:w="2076" w:type="dxa"/>
          </w:tcPr>
          <w:p w:rsidR="008319DB" w:rsidRDefault="000D0DF8">
            <w:pPr>
              <w:rPr>
                <w:rFonts w:ascii="宋体" w:hAnsi="宋体"/>
                <w:sz w:val="22"/>
                <w:szCs w:val="22"/>
              </w:rPr>
            </w:pPr>
            <w:r>
              <w:rPr>
                <w:rFonts w:ascii="宋体" w:hAnsi="宋体"/>
                <w:sz w:val="22"/>
                <w:szCs w:val="22"/>
              </w:rPr>
              <w:t>申购和赎回</w:t>
            </w:r>
          </w:p>
        </w:tc>
        <w:tc>
          <w:tcPr>
            <w:tcW w:w="6338" w:type="dxa"/>
          </w:tcPr>
          <w:p w:rsidR="008319DB" w:rsidRDefault="000224C9" w:rsidP="00E72D14">
            <w:pPr>
              <w:rPr>
                <w:rFonts w:ascii="宋体" w:hAnsi="宋体"/>
                <w:sz w:val="22"/>
                <w:szCs w:val="22"/>
              </w:rPr>
            </w:pPr>
            <w:r>
              <w:rPr>
                <w:rFonts w:ascii="宋体" w:hAnsi="宋体"/>
                <w:sz w:val="22"/>
                <w:szCs w:val="22"/>
              </w:rPr>
              <w:t>本理财计划于封闭期后开放申购和赎回。详细内容见以下“</w:t>
            </w:r>
            <w:r>
              <w:rPr>
                <w:rFonts w:ascii="宋体" w:hAnsi="宋体" w:hint="eastAsia"/>
                <w:sz w:val="22"/>
                <w:szCs w:val="22"/>
              </w:rPr>
              <w:t>理财计划</w:t>
            </w:r>
            <w:r>
              <w:rPr>
                <w:rFonts w:ascii="宋体" w:hAnsi="宋体"/>
                <w:sz w:val="22"/>
                <w:szCs w:val="22"/>
              </w:rPr>
              <w:t>申购</w:t>
            </w:r>
            <w:r>
              <w:rPr>
                <w:rFonts w:ascii="宋体" w:hAnsi="宋体" w:hint="eastAsia"/>
                <w:sz w:val="22"/>
                <w:szCs w:val="22"/>
              </w:rPr>
              <w:t>”和“理财计划</w:t>
            </w:r>
            <w:r>
              <w:rPr>
                <w:rFonts w:ascii="宋体" w:hAnsi="宋体"/>
                <w:sz w:val="22"/>
                <w:szCs w:val="22"/>
              </w:rPr>
              <w:t>赎回”。</w:t>
            </w:r>
          </w:p>
        </w:tc>
      </w:tr>
      <w:tr w:rsidR="008319DB">
        <w:trPr>
          <w:trHeight w:val="385"/>
        </w:trPr>
        <w:tc>
          <w:tcPr>
            <w:tcW w:w="2076" w:type="dxa"/>
          </w:tcPr>
          <w:p w:rsidR="008319DB" w:rsidRDefault="000D0DF8">
            <w:pPr>
              <w:rPr>
                <w:rFonts w:ascii="宋体" w:hAnsi="宋体"/>
                <w:sz w:val="22"/>
                <w:szCs w:val="22"/>
              </w:rPr>
            </w:pPr>
            <w:r>
              <w:rPr>
                <w:rFonts w:ascii="宋体" w:hAnsi="宋体"/>
                <w:sz w:val="22"/>
                <w:szCs w:val="22"/>
              </w:rPr>
              <w:t>申购</w:t>
            </w:r>
            <w:r>
              <w:rPr>
                <w:rFonts w:ascii="宋体" w:hAnsi="宋体" w:hint="eastAsia"/>
                <w:sz w:val="22"/>
                <w:szCs w:val="22"/>
              </w:rPr>
              <w:t>赎回</w:t>
            </w:r>
            <w:r>
              <w:rPr>
                <w:rFonts w:ascii="宋体" w:hAnsi="宋体"/>
                <w:sz w:val="22"/>
                <w:szCs w:val="22"/>
              </w:rPr>
              <w:t>费</w:t>
            </w:r>
          </w:p>
        </w:tc>
        <w:tc>
          <w:tcPr>
            <w:tcW w:w="6338" w:type="dxa"/>
          </w:tcPr>
          <w:p w:rsidR="008319DB" w:rsidRDefault="000D0DF8">
            <w:pPr>
              <w:ind w:left="2420" w:hangingChars="1100" w:hanging="2420"/>
              <w:rPr>
                <w:rFonts w:ascii="宋体" w:hAnsi="宋体"/>
                <w:sz w:val="22"/>
                <w:szCs w:val="22"/>
              </w:rPr>
            </w:pPr>
            <w:r>
              <w:rPr>
                <w:rFonts w:ascii="宋体" w:hAnsi="宋体"/>
                <w:sz w:val="22"/>
                <w:szCs w:val="22"/>
              </w:rPr>
              <w:t>本理财计划不收取申购</w:t>
            </w:r>
            <w:r>
              <w:rPr>
                <w:rFonts w:ascii="宋体" w:hAnsi="宋体" w:hint="eastAsia"/>
                <w:sz w:val="22"/>
                <w:szCs w:val="22"/>
              </w:rPr>
              <w:t>、赎回</w:t>
            </w:r>
            <w:r>
              <w:rPr>
                <w:rFonts w:ascii="宋体" w:hAnsi="宋体"/>
                <w:sz w:val="22"/>
                <w:szCs w:val="22"/>
              </w:rPr>
              <w:t>费。</w:t>
            </w:r>
          </w:p>
        </w:tc>
      </w:tr>
      <w:tr w:rsidR="008319DB">
        <w:trPr>
          <w:trHeight w:val="156"/>
        </w:trPr>
        <w:tc>
          <w:tcPr>
            <w:tcW w:w="2076" w:type="dxa"/>
          </w:tcPr>
          <w:p w:rsidR="008319DB" w:rsidRDefault="000D0DF8">
            <w:pPr>
              <w:rPr>
                <w:rFonts w:ascii="宋体" w:hAnsi="宋体"/>
                <w:sz w:val="22"/>
                <w:szCs w:val="22"/>
              </w:rPr>
            </w:pPr>
            <w:r>
              <w:rPr>
                <w:rFonts w:ascii="宋体" w:hAnsi="宋体" w:hint="eastAsia"/>
                <w:sz w:val="22"/>
                <w:szCs w:val="22"/>
              </w:rPr>
              <w:t>认购、申购、赎回价格</w:t>
            </w:r>
          </w:p>
        </w:tc>
        <w:tc>
          <w:tcPr>
            <w:tcW w:w="6338" w:type="dxa"/>
          </w:tcPr>
          <w:p w:rsidR="008319DB" w:rsidRDefault="000D0DF8">
            <w:pPr>
              <w:rPr>
                <w:rFonts w:ascii="宋体" w:hAnsi="宋体"/>
                <w:sz w:val="22"/>
                <w:szCs w:val="22"/>
              </w:rPr>
            </w:pPr>
            <w:r>
              <w:rPr>
                <w:rFonts w:ascii="宋体" w:hAnsi="宋体" w:hint="eastAsia"/>
                <w:sz w:val="22"/>
                <w:szCs w:val="22"/>
              </w:rPr>
              <w:t>本理财计划认购、申购、赎回价格均为1元人民币为1份 。赎回价格并非代表投资者最终可根据该价格获得最终赎回资金，具体见“理财收益的测算依据和测算方法”和“理财收益测算示例”的相关规定</w:t>
            </w:r>
          </w:p>
        </w:tc>
      </w:tr>
      <w:tr w:rsidR="008319DB">
        <w:trPr>
          <w:trHeight w:val="1092"/>
        </w:trPr>
        <w:tc>
          <w:tcPr>
            <w:tcW w:w="2076" w:type="dxa"/>
          </w:tcPr>
          <w:p w:rsidR="008319DB" w:rsidRDefault="000D0DF8">
            <w:pPr>
              <w:rPr>
                <w:rFonts w:ascii="宋体" w:hAnsi="宋体"/>
                <w:sz w:val="22"/>
                <w:szCs w:val="22"/>
              </w:rPr>
            </w:pPr>
            <w:r>
              <w:rPr>
                <w:rFonts w:ascii="宋体" w:hAnsi="宋体"/>
                <w:sz w:val="22"/>
                <w:szCs w:val="22"/>
              </w:rPr>
              <w:lastRenderedPageBreak/>
              <w:t>认购期</w:t>
            </w:r>
          </w:p>
        </w:tc>
        <w:tc>
          <w:tcPr>
            <w:tcW w:w="6338" w:type="dxa"/>
          </w:tcPr>
          <w:p w:rsidR="008319DB" w:rsidRDefault="000D0DF8" w:rsidP="00E72D14">
            <w:pPr>
              <w:rPr>
                <w:rFonts w:ascii="宋体" w:hAnsi="宋体"/>
                <w:sz w:val="22"/>
                <w:szCs w:val="22"/>
              </w:rPr>
            </w:pPr>
            <w:r>
              <w:rPr>
                <w:rFonts w:ascii="宋体" w:hAnsi="宋体"/>
                <w:sz w:val="22"/>
                <w:szCs w:val="22"/>
              </w:rPr>
              <w:t>20</w:t>
            </w:r>
            <w:r>
              <w:rPr>
                <w:rFonts w:ascii="宋体" w:hAnsi="宋体" w:hint="eastAsia"/>
                <w:sz w:val="22"/>
                <w:szCs w:val="22"/>
              </w:rPr>
              <w:t>12</w:t>
            </w:r>
            <w:r>
              <w:rPr>
                <w:rFonts w:ascii="宋体" w:hAnsi="宋体"/>
                <w:sz w:val="22"/>
                <w:szCs w:val="22"/>
              </w:rPr>
              <w:t>年</w:t>
            </w:r>
            <w:r>
              <w:rPr>
                <w:rFonts w:ascii="宋体" w:hAnsi="宋体" w:hint="eastAsia"/>
                <w:sz w:val="22"/>
                <w:szCs w:val="22"/>
              </w:rPr>
              <w:t>7</w:t>
            </w:r>
            <w:r>
              <w:rPr>
                <w:rFonts w:ascii="宋体" w:hAnsi="宋体"/>
                <w:sz w:val="22"/>
                <w:szCs w:val="22"/>
              </w:rPr>
              <w:t>月</w:t>
            </w:r>
            <w:r>
              <w:rPr>
                <w:rFonts w:ascii="宋体" w:hAnsi="宋体" w:hint="eastAsia"/>
                <w:sz w:val="22"/>
                <w:szCs w:val="22"/>
              </w:rPr>
              <w:t>24</w:t>
            </w:r>
            <w:r>
              <w:rPr>
                <w:rFonts w:ascii="宋体" w:hAnsi="宋体"/>
                <w:sz w:val="22"/>
                <w:szCs w:val="22"/>
              </w:rPr>
              <w:t>日9:</w:t>
            </w:r>
            <w:r>
              <w:rPr>
                <w:rFonts w:ascii="宋体" w:hAnsi="宋体" w:hint="eastAsia"/>
                <w:sz w:val="22"/>
                <w:szCs w:val="22"/>
              </w:rPr>
              <w:t>3</w:t>
            </w:r>
            <w:r>
              <w:rPr>
                <w:rFonts w:ascii="宋体" w:hAnsi="宋体"/>
                <w:sz w:val="22"/>
                <w:szCs w:val="22"/>
              </w:rPr>
              <w:t>0到201</w:t>
            </w:r>
            <w:r>
              <w:rPr>
                <w:rFonts w:ascii="宋体" w:hAnsi="宋体" w:hint="eastAsia"/>
                <w:sz w:val="22"/>
                <w:szCs w:val="22"/>
              </w:rPr>
              <w:t>2</w:t>
            </w:r>
            <w:r>
              <w:rPr>
                <w:rFonts w:ascii="宋体" w:hAnsi="宋体"/>
                <w:sz w:val="22"/>
                <w:szCs w:val="22"/>
              </w:rPr>
              <w:t>年</w:t>
            </w:r>
            <w:r>
              <w:rPr>
                <w:rFonts w:ascii="宋体" w:hAnsi="宋体" w:hint="eastAsia"/>
                <w:sz w:val="22"/>
                <w:szCs w:val="22"/>
              </w:rPr>
              <w:t>7</w:t>
            </w:r>
            <w:r>
              <w:rPr>
                <w:rFonts w:ascii="宋体" w:hAnsi="宋体"/>
                <w:sz w:val="22"/>
                <w:szCs w:val="22"/>
              </w:rPr>
              <w:t>月</w:t>
            </w:r>
            <w:r>
              <w:rPr>
                <w:rFonts w:ascii="宋体" w:hAnsi="宋体" w:hint="eastAsia"/>
                <w:sz w:val="22"/>
                <w:szCs w:val="22"/>
              </w:rPr>
              <w:t>31</w:t>
            </w:r>
            <w:r>
              <w:rPr>
                <w:rFonts w:ascii="宋体" w:hAnsi="宋体"/>
                <w:sz w:val="22"/>
                <w:szCs w:val="22"/>
              </w:rPr>
              <w:t>日</w:t>
            </w:r>
            <w:r w:rsidR="00E72D14">
              <w:rPr>
                <w:rFonts w:ascii="宋体" w:hAnsi="宋体" w:hint="eastAsia"/>
                <w:sz w:val="22"/>
                <w:szCs w:val="22"/>
              </w:rPr>
              <w:t>16</w:t>
            </w:r>
            <w:r>
              <w:rPr>
                <w:rFonts w:ascii="宋体" w:hAnsi="宋体"/>
                <w:sz w:val="22"/>
                <w:szCs w:val="22"/>
              </w:rPr>
              <w:t>:</w:t>
            </w:r>
            <w:r>
              <w:rPr>
                <w:rFonts w:ascii="宋体" w:hAnsi="宋体" w:hint="eastAsia"/>
                <w:sz w:val="22"/>
                <w:szCs w:val="22"/>
              </w:rPr>
              <w:t>3</w:t>
            </w:r>
            <w:r>
              <w:rPr>
                <w:rFonts w:ascii="宋体" w:hAnsi="宋体"/>
                <w:sz w:val="22"/>
                <w:szCs w:val="22"/>
              </w:rPr>
              <w:t>0，认购期内认购资金按银行活期利率计息。详细内容见以下“理财计划认购”。</w:t>
            </w:r>
          </w:p>
        </w:tc>
      </w:tr>
      <w:tr w:rsidR="008319DB">
        <w:tc>
          <w:tcPr>
            <w:tcW w:w="2076" w:type="dxa"/>
          </w:tcPr>
          <w:p w:rsidR="008319DB" w:rsidRDefault="000D0DF8">
            <w:pPr>
              <w:rPr>
                <w:rFonts w:ascii="宋体" w:hAnsi="宋体"/>
                <w:sz w:val="22"/>
                <w:szCs w:val="22"/>
              </w:rPr>
            </w:pPr>
            <w:r>
              <w:rPr>
                <w:rFonts w:ascii="宋体" w:hAnsi="宋体"/>
                <w:sz w:val="22"/>
                <w:szCs w:val="22"/>
              </w:rPr>
              <w:t>认购登记日</w:t>
            </w:r>
          </w:p>
        </w:tc>
        <w:tc>
          <w:tcPr>
            <w:tcW w:w="6338" w:type="dxa"/>
          </w:tcPr>
          <w:p w:rsidR="008319DB" w:rsidRDefault="000D0DF8">
            <w:pPr>
              <w:ind w:left="2420" w:hangingChars="1100" w:hanging="2420"/>
              <w:rPr>
                <w:rFonts w:ascii="宋体" w:hAnsi="宋体"/>
                <w:sz w:val="22"/>
                <w:szCs w:val="22"/>
              </w:rPr>
            </w:pPr>
            <w:r>
              <w:rPr>
                <w:rFonts w:ascii="宋体" w:hAnsi="宋体"/>
                <w:sz w:val="22"/>
                <w:szCs w:val="22"/>
              </w:rPr>
              <w:t>201</w:t>
            </w:r>
            <w:r>
              <w:rPr>
                <w:rFonts w:ascii="宋体" w:hAnsi="宋体" w:hint="eastAsia"/>
                <w:sz w:val="22"/>
                <w:szCs w:val="22"/>
              </w:rPr>
              <w:t>2</w:t>
            </w:r>
            <w:r>
              <w:rPr>
                <w:rFonts w:ascii="宋体" w:hAnsi="宋体"/>
                <w:sz w:val="22"/>
                <w:szCs w:val="22"/>
              </w:rPr>
              <w:t>年</w:t>
            </w:r>
            <w:r>
              <w:rPr>
                <w:rFonts w:ascii="宋体" w:hAnsi="宋体" w:hint="eastAsia"/>
                <w:sz w:val="22"/>
                <w:szCs w:val="22"/>
              </w:rPr>
              <w:t>7</w:t>
            </w:r>
            <w:r>
              <w:rPr>
                <w:rFonts w:ascii="宋体" w:hAnsi="宋体"/>
                <w:sz w:val="22"/>
                <w:szCs w:val="22"/>
              </w:rPr>
              <w:t>月</w:t>
            </w:r>
            <w:r>
              <w:rPr>
                <w:rFonts w:ascii="宋体" w:hAnsi="宋体" w:hint="eastAsia"/>
                <w:sz w:val="22"/>
                <w:szCs w:val="22"/>
              </w:rPr>
              <w:t>31</w:t>
            </w:r>
            <w:r>
              <w:rPr>
                <w:rFonts w:ascii="宋体" w:hAnsi="宋体"/>
                <w:sz w:val="22"/>
                <w:szCs w:val="22"/>
              </w:rPr>
              <w:t>日</w:t>
            </w:r>
          </w:p>
        </w:tc>
      </w:tr>
      <w:tr w:rsidR="008319DB">
        <w:tc>
          <w:tcPr>
            <w:tcW w:w="2076" w:type="dxa"/>
          </w:tcPr>
          <w:p w:rsidR="008319DB" w:rsidRDefault="000D0DF8">
            <w:pPr>
              <w:rPr>
                <w:rFonts w:ascii="宋体" w:hAnsi="宋体"/>
                <w:sz w:val="22"/>
                <w:szCs w:val="22"/>
              </w:rPr>
            </w:pPr>
            <w:r>
              <w:rPr>
                <w:rFonts w:ascii="宋体" w:hAnsi="宋体"/>
                <w:sz w:val="22"/>
                <w:szCs w:val="22"/>
              </w:rPr>
              <w:t>成立日</w:t>
            </w:r>
          </w:p>
        </w:tc>
        <w:tc>
          <w:tcPr>
            <w:tcW w:w="6338" w:type="dxa"/>
          </w:tcPr>
          <w:p w:rsidR="008319DB" w:rsidRDefault="000D0DF8">
            <w:pPr>
              <w:ind w:left="2420" w:hangingChars="1100" w:hanging="2420"/>
              <w:rPr>
                <w:rFonts w:ascii="宋体" w:hAnsi="宋体"/>
                <w:sz w:val="22"/>
                <w:szCs w:val="22"/>
              </w:rPr>
            </w:pPr>
            <w:r>
              <w:rPr>
                <w:rFonts w:ascii="宋体" w:hAnsi="宋体"/>
                <w:sz w:val="22"/>
                <w:szCs w:val="22"/>
              </w:rPr>
              <w:t>201</w:t>
            </w:r>
            <w:r>
              <w:rPr>
                <w:rFonts w:ascii="宋体" w:hAnsi="宋体" w:hint="eastAsia"/>
                <w:sz w:val="22"/>
                <w:szCs w:val="22"/>
              </w:rPr>
              <w:t>2</w:t>
            </w:r>
            <w:r>
              <w:rPr>
                <w:rFonts w:ascii="宋体" w:hAnsi="宋体"/>
                <w:sz w:val="22"/>
                <w:szCs w:val="22"/>
              </w:rPr>
              <w:t>年</w:t>
            </w:r>
            <w:r>
              <w:rPr>
                <w:rFonts w:ascii="宋体" w:hAnsi="宋体" w:hint="eastAsia"/>
                <w:sz w:val="22"/>
                <w:szCs w:val="22"/>
              </w:rPr>
              <w:t>8</w:t>
            </w:r>
            <w:r>
              <w:rPr>
                <w:rFonts w:ascii="宋体" w:hAnsi="宋体"/>
                <w:sz w:val="22"/>
                <w:szCs w:val="22"/>
              </w:rPr>
              <w:t>月</w:t>
            </w:r>
            <w:r>
              <w:rPr>
                <w:rFonts w:ascii="宋体" w:hAnsi="宋体" w:hint="eastAsia"/>
                <w:sz w:val="22"/>
                <w:szCs w:val="22"/>
              </w:rPr>
              <w:t>1</w:t>
            </w:r>
            <w:r>
              <w:rPr>
                <w:rFonts w:ascii="宋体" w:hAnsi="宋体"/>
                <w:sz w:val="22"/>
                <w:szCs w:val="22"/>
              </w:rPr>
              <w:t>日</w:t>
            </w:r>
          </w:p>
        </w:tc>
      </w:tr>
      <w:tr w:rsidR="008319DB">
        <w:tc>
          <w:tcPr>
            <w:tcW w:w="2076" w:type="dxa"/>
          </w:tcPr>
          <w:p w:rsidR="008319DB" w:rsidRDefault="000D0DF8">
            <w:pPr>
              <w:rPr>
                <w:rFonts w:ascii="宋体" w:hAnsi="宋体"/>
                <w:sz w:val="22"/>
                <w:szCs w:val="22"/>
              </w:rPr>
            </w:pPr>
            <w:r>
              <w:rPr>
                <w:rFonts w:ascii="宋体" w:hAnsi="宋体"/>
                <w:sz w:val="22"/>
                <w:szCs w:val="22"/>
              </w:rPr>
              <w:t>到期日</w:t>
            </w:r>
          </w:p>
        </w:tc>
        <w:tc>
          <w:tcPr>
            <w:tcW w:w="6338" w:type="dxa"/>
          </w:tcPr>
          <w:p w:rsidR="008319DB" w:rsidRDefault="000D0DF8">
            <w:pPr>
              <w:rPr>
                <w:rFonts w:ascii="宋体" w:hAnsi="宋体"/>
                <w:sz w:val="22"/>
                <w:szCs w:val="22"/>
              </w:rPr>
            </w:pPr>
            <w:r>
              <w:rPr>
                <w:rFonts w:ascii="宋体" w:hAnsi="宋体"/>
                <w:sz w:val="22"/>
                <w:szCs w:val="22"/>
              </w:rPr>
              <w:t>20</w:t>
            </w:r>
            <w:r>
              <w:rPr>
                <w:rFonts w:ascii="宋体" w:hAnsi="宋体" w:hint="eastAsia"/>
                <w:sz w:val="22"/>
                <w:szCs w:val="22"/>
              </w:rPr>
              <w:t>20</w:t>
            </w:r>
            <w:r>
              <w:rPr>
                <w:rFonts w:ascii="宋体" w:hAnsi="宋体"/>
                <w:sz w:val="22"/>
                <w:szCs w:val="22"/>
              </w:rPr>
              <w:t>年</w:t>
            </w:r>
            <w:r>
              <w:rPr>
                <w:rFonts w:ascii="宋体" w:hAnsi="宋体" w:hint="eastAsia"/>
                <w:sz w:val="22"/>
                <w:szCs w:val="22"/>
              </w:rPr>
              <w:t>8</w:t>
            </w:r>
            <w:r>
              <w:rPr>
                <w:rFonts w:ascii="宋体" w:hAnsi="宋体"/>
                <w:sz w:val="22"/>
                <w:szCs w:val="22"/>
              </w:rPr>
              <w:t>月</w:t>
            </w:r>
            <w:r>
              <w:rPr>
                <w:rFonts w:ascii="宋体" w:hAnsi="宋体" w:hint="eastAsia"/>
                <w:sz w:val="22"/>
                <w:szCs w:val="22"/>
              </w:rPr>
              <w:t>1</w:t>
            </w:r>
            <w:r>
              <w:rPr>
                <w:rFonts w:ascii="宋体" w:hAnsi="宋体"/>
                <w:sz w:val="22"/>
                <w:szCs w:val="22"/>
              </w:rPr>
              <w:t>日，逢假期顺延。</w:t>
            </w:r>
            <w:r>
              <w:rPr>
                <w:rFonts w:ascii="宋体" w:hAnsi="宋体" w:hint="eastAsia"/>
                <w:sz w:val="22"/>
                <w:szCs w:val="22"/>
              </w:rPr>
              <w:t>（招商银行有权延长该理财产品期限，推迟产品到期日。如招商银行延长产品期限，推迟产品到期日，将通过信息公告的形式向投资者公告，</w:t>
            </w:r>
            <w:r>
              <w:rPr>
                <w:rFonts w:ascii="宋体" w:hAnsi="宋体"/>
                <w:sz w:val="22"/>
                <w:szCs w:val="22"/>
              </w:rPr>
              <w:t>详细内容见以下“</w:t>
            </w:r>
            <w:r>
              <w:rPr>
                <w:rFonts w:ascii="宋体" w:hAnsi="宋体" w:hint="eastAsia"/>
                <w:sz w:val="22"/>
                <w:szCs w:val="22"/>
              </w:rPr>
              <w:t>信息公告</w:t>
            </w:r>
            <w:r>
              <w:rPr>
                <w:rFonts w:ascii="宋体" w:hAnsi="宋体"/>
                <w:sz w:val="22"/>
                <w:szCs w:val="22"/>
              </w:rPr>
              <w:t>”）</w:t>
            </w:r>
          </w:p>
        </w:tc>
      </w:tr>
      <w:tr w:rsidR="008319DB">
        <w:trPr>
          <w:trHeight w:val="652"/>
        </w:trPr>
        <w:tc>
          <w:tcPr>
            <w:tcW w:w="2076" w:type="dxa"/>
          </w:tcPr>
          <w:p w:rsidR="008319DB" w:rsidRDefault="000D0DF8">
            <w:pPr>
              <w:rPr>
                <w:rFonts w:ascii="宋体" w:hAnsi="宋体"/>
                <w:sz w:val="22"/>
                <w:szCs w:val="22"/>
              </w:rPr>
            </w:pPr>
            <w:r>
              <w:rPr>
                <w:rFonts w:ascii="宋体" w:hAnsi="宋体"/>
                <w:sz w:val="22"/>
                <w:szCs w:val="22"/>
              </w:rPr>
              <w:t>封闭期</w:t>
            </w:r>
          </w:p>
        </w:tc>
        <w:tc>
          <w:tcPr>
            <w:tcW w:w="6338" w:type="dxa"/>
          </w:tcPr>
          <w:p w:rsidR="008319DB" w:rsidRDefault="000D0DF8">
            <w:pPr>
              <w:rPr>
                <w:rFonts w:ascii="宋体" w:hAnsi="宋体"/>
                <w:sz w:val="22"/>
                <w:szCs w:val="22"/>
              </w:rPr>
            </w:pPr>
            <w:r>
              <w:rPr>
                <w:rFonts w:ascii="宋体" w:hAnsi="宋体"/>
                <w:sz w:val="22"/>
                <w:szCs w:val="22"/>
              </w:rPr>
              <w:t>201</w:t>
            </w:r>
            <w:r>
              <w:rPr>
                <w:rFonts w:ascii="宋体" w:hAnsi="宋体" w:hint="eastAsia"/>
                <w:sz w:val="22"/>
                <w:szCs w:val="22"/>
              </w:rPr>
              <w:t>2</w:t>
            </w:r>
            <w:r>
              <w:rPr>
                <w:rFonts w:ascii="宋体" w:hAnsi="宋体"/>
                <w:sz w:val="22"/>
                <w:szCs w:val="22"/>
              </w:rPr>
              <w:t xml:space="preserve">年 </w:t>
            </w:r>
            <w:r>
              <w:rPr>
                <w:rFonts w:ascii="宋体" w:hAnsi="宋体" w:hint="eastAsia"/>
                <w:sz w:val="22"/>
                <w:szCs w:val="22"/>
              </w:rPr>
              <w:t>8</w:t>
            </w:r>
            <w:r>
              <w:rPr>
                <w:rFonts w:ascii="宋体" w:hAnsi="宋体"/>
                <w:sz w:val="22"/>
                <w:szCs w:val="22"/>
              </w:rPr>
              <w:t>月</w:t>
            </w:r>
            <w:r>
              <w:rPr>
                <w:rFonts w:ascii="宋体" w:hAnsi="宋体" w:hint="eastAsia"/>
                <w:sz w:val="22"/>
                <w:szCs w:val="22"/>
              </w:rPr>
              <w:t>1</w:t>
            </w:r>
            <w:r>
              <w:rPr>
                <w:rFonts w:ascii="宋体" w:hAnsi="宋体"/>
                <w:sz w:val="22"/>
                <w:szCs w:val="22"/>
              </w:rPr>
              <w:t>日至201</w:t>
            </w:r>
            <w:r>
              <w:rPr>
                <w:rFonts w:ascii="宋体" w:hAnsi="宋体" w:hint="eastAsia"/>
                <w:sz w:val="22"/>
                <w:szCs w:val="22"/>
              </w:rPr>
              <w:t>2</w:t>
            </w:r>
            <w:r>
              <w:rPr>
                <w:rFonts w:ascii="宋体" w:hAnsi="宋体"/>
                <w:sz w:val="22"/>
                <w:szCs w:val="22"/>
              </w:rPr>
              <w:t>年</w:t>
            </w:r>
            <w:r>
              <w:rPr>
                <w:rFonts w:ascii="宋体" w:hAnsi="宋体" w:hint="eastAsia"/>
                <w:sz w:val="22"/>
                <w:szCs w:val="22"/>
              </w:rPr>
              <w:t>8</w:t>
            </w:r>
            <w:r>
              <w:rPr>
                <w:rFonts w:ascii="宋体" w:hAnsi="宋体"/>
                <w:sz w:val="22"/>
                <w:szCs w:val="22"/>
              </w:rPr>
              <w:t>月</w:t>
            </w:r>
            <w:r>
              <w:rPr>
                <w:rFonts w:ascii="宋体" w:hAnsi="宋体" w:hint="eastAsia"/>
                <w:sz w:val="22"/>
                <w:szCs w:val="22"/>
              </w:rPr>
              <w:t>6</w:t>
            </w:r>
            <w:r>
              <w:rPr>
                <w:rFonts w:ascii="宋体" w:hAnsi="宋体"/>
                <w:sz w:val="22"/>
                <w:szCs w:val="22"/>
              </w:rPr>
              <w:t>日，封闭期内理财计划不开放申购和赎回。</w:t>
            </w:r>
          </w:p>
        </w:tc>
      </w:tr>
      <w:tr w:rsidR="008319DB">
        <w:trPr>
          <w:trHeight w:val="92"/>
        </w:trPr>
        <w:tc>
          <w:tcPr>
            <w:tcW w:w="2076" w:type="dxa"/>
          </w:tcPr>
          <w:p w:rsidR="008319DB" w:rsidRDefault="000D0DF8">
            <w:pPr>
              <w:rPr>
                <w:rFonts w:ascii="宋体" w:hAnsi="宋体"/>
                <w:sz w:val="22"/>
                <w:szCs w:val="22"/>
              </w:rPr>
            </w:pPr>
            <w:r>
              <w:rPr>
                <w:rFonts w:ascii="宋体" w:hAnsi="宋体"/>
                <w:sz w:val="22"/>
                <w:szCs w:val="22"/>
              </w:rPr>
              <w:t>发行规模</w:t>
            </w:r>
          </w:p>
        </w:tc>
        <w:tc>
          <w:tcPr>
            <w:tcW w:w="6338" w:type="dxa"/>
          </w:tcPr>
          <w:p w:rsidR="008319DB" w:rsidRDefault="000D0DF8" w:rsidP="00042880">
            <w:pPr>
              <w:rPr>
                <w:rFonts w:ascii="宋体" w:hAnsi="宋体"/>
                <w:sz w:val="22"/>
                <w:szCs w:val="22"/>
              </w:rPr>
            </w:pPr>
            <w:r>
              <w:rPr>
                <w:rFonts w:ascii="宋体" w:hAnsi="宋体"/>
                <w:sz w:val="22"/>
                <w:szCs w:val="22"/>
              </w:rPr>
              <w:t>发行规模不设下限，发行规模上限</w:t>
            </w:r>
            <w:r w:rsidR="00042880">
              <w:rPr>
                <w:rFonts w:ascii="宋体" w:hAnsi="宋体" w:hint="eastAsia"/>
                <w:sz w:val="22"/>
                <w:szCs w:val="22"/>
              </w:rPr>
              <w:t>7</w:t>
            </w:r>
            <w:r w:rsidR="007645CF">
              <w:rPr>
                <w:rFonts w:ascii="宋体" w:hAnsi="宋体" w:hint="eastAsia"/>
                <w:sz w:val="22"/>
                <w:szCs w:val="22"/>
              </w:rPr>
              <w:t>0</w:t>
            </w:r>
            <w:r>
              <w:rPr>
                <w:rFonts w:ascii="宋体" w:hAnsi="宋体" w:hint="eastAsia"/>
                <w:sz w:val="22"/>
                <w:szCs w:val="22"/>
              </w:rPr>
              <w:t>0</w:t>
            </w:r>
            <w:r>
              <w:rPr>
                <w:rFonts w:ascii="宋体" w:hAnsi="宋体"/>
                <w:sz w:val="22"/>
                <w:szCs w:val="22"/>
              </w:rPr>
              <w:t>亿元，售完即止。</w:t>
            </w:r>
          </w:p>
        </w:tc>
      </w:tr>
      <w:tr w:rsidR="008319DB">
        <w:tc>
          <w:tcPr>
            <w:tcW w:w="2076" w:type="dxa"/>
          </w:tcPr>
          <w:p w:rsidR="008319DB" w:rsidRDefault="000D0DF8">
            <w:pPr>
              <w:rPr>
                <w:rFonts w:ascii="宋体" w:hAnsi="宋体"/>
                <w:sz w:val="22"/>
                <w:szCs w:val="22"/>
              </w:rPr>
            </w:pPr>
            <w:r>
              <w:rPr>
                <w:rFonts w:ascii="宋体" w:hAnsi="宋体" w:hint="eastAsia"/>
                <w:sz w:val="22"/>
                <w:szCs w:val="22"/>
              </w:rPr>
              <w:t>收益</w:t>
            </w:r>
            <w:r>
              <w:rPr>
                <w:rFonts w:ascii="宋体" w:hAnsi="宋体"/>
                <w:sz w:val="22"/>
                <w:szCs w:val="22"/>
              </w:rPr>
              <w:t>计息基础</w:t>
            </w:r>
          </w:p>
        </w:tc>
        <w:tc>
          <w:tcPr>
            <w:tcW w:w="6338" w:type="dxa"/>
          </w:tcPr>
          <w:p w:rsidR="008319DB" w:rsidRDefault="000D0DF8">
            <w:pPr>
              <w:rPr>
                <w:rFonts w:ascii="宋体" w:hAnsi="宋体"/>
                <w:sz w:val="22"/>
                <w:szCs w:val="22"/>
              </w:rPr>
            </w:pPr>
            <w:r>
              <w:rPr>
                <w:rFonts w:ascii="宋体" w:hAnsi="宋体"/>
                <w:sz w:val="22"/>
                <w:szCs w:val="22"/>
              </w:rPr>
              <w:t>实际理财天数/365</w:t>
            </w:r>
          </w:p>
        </w:tc>
      </w:tr>
      <w:tr w:rsidR="008319DB">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收益计算方式</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理财计划存续期间，每日计算收益。</w:t>
            </w:r>
          </w:p>
        </w:tc>
      </w:tr>
      <w:tr w:rsidR="008319DB">
        <w:trPr>
          <w:trHeight w:val="369"/>
        </w:trPr>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收益计算单位</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每</w:t>
            </w:r>
            <w:r>
              <w:rPr>
                <w:rFonts w:ascii="宋体" w:hAnsi="宋体"/>
                <w:sz w:val="22"/>
                <w:szCs w:val="22"/>
              </w:rPr>
              <w:t>1</w:t>
            </w:r>
            <w:r>
              <w:rPr>
                <w:rFonts w:ascii="宋体" w:hAnsi="宋体" w:hint="eastAsia"/>
                <w:sz w:val="22"/>
                <w:szCs w:val="22"/>
              </w:rPr>
              <w:t>万</w:t>
            </w:r>
            <w:r>
              <w:rPr>
                <w:rFonts w:ascii="宋体" w:hAnsi="宋体"/>
                <w:sz w:val="22"/>
                <w:szCs w:val="22"/>
              </w:rPr>
              <w:t>份为一个</w:t>
            </w:r>
            <w:r>
              <w:rPr>
                <w:rFonts w:ascii="宋体" w:hAnsi="宋体" w:hint="eastAsia"/>
                <w:sz w:val="22"/>
                <w:szCs w:val="22"/>
              </w:rPr>
              <w:t>收益计算</w:t>
            </w:r>
            <w:r>
              <w:rPr>
                <w:rFonts w:ascii="宋体" w:hAnsi="宋体"/>
                <w:sz w:val="22"/>
                <w:szCs w:val="22"/>
              </w:rPr>
              <w:t>单位，每单位收益精确到小数点后两位。</w:t>
            </w:r>
          </w:p>
        </w:tc>
      </w:tr>
      <w:tr w:rsidR="008319DB">
        <w:trPr>
          <w:trHeight w:val="312"/>
        </w:trPr>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收益支付日及支付</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详细内容见以下“本金及理财收益支付”。</w:t>
            </w:r>
          </w:p>
        </w:tc>
      </w:tr>
      <w:tr w:rsidR="008319DB">
        <w:trPr>
          <w:trHeight w:val="380"/>
        </w:trPr>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托管人</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招商银行股份有限公司</w:t>
            </w:r>
          </w:p>
        </w:tc>
      </w:tr>
      <w:tr w:rsidR="008319DB">
        <w:trPr>
          <w:trHeight w:val="231"/>
        </w:trPr>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托管费率</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0.10%/年</w:t>
            </w:r>
          </w:p>
        </w:tc>
      </w:tr>
      <w:tr w:rsidR="008319DB">
        <w:trPr>
          <w:trHeight w:val="241"/>
        </w:trPr>
        <w:tc>
          <w:tcPr>
            <w:tcW w:w="2076"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 xml:space="preserve">管理费率 </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hint="eastAsia"/>
                <w:sz w:val="22"/>
                <w:szCs w:val="22"/>
              </w:rPr>
              <w:t>0.60%/年</w:t>
            </w:r>
          </w:p>
        </w:tc>
      </w:tr>
      <w:tr w:rsidR="008319DB">
        <w:trPr>
          <w:trHeight w:val="448"/>
        </w:trPr>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清算期</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sz w:val="22"/>
                <w:szCs w:val="22"/>
              </w:rPr>
              <w:t>认购登记日到成立日期间为认购清算期，赎回日、到期日（或理财计划实际终止日）到理财资金返还到账日为还本清算期，理财资金在认购清算期和还本清算期内不计付利息。清算期逢节假日顺延。</w:t>
            </w:r>
          </w:p>
        </w:tc>
      </w:tr>
      <w:tr w:rsidR="008319DB">
        <w:trPr>
          <w:trHeight w:val="489"/>
        </w:trPr>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购买方式</w:t>
            </w:r>
          </w:p>
        </w:tc>
        <w:tc>
          <w:tcPr>
            <w:tcW w:w="6338" w:type="dxa"/>
          </w:tcPr>
          <w:p w:rsidR="008319DB" w:rsidRDefault="000D0DF8">
            <w:pPr>
              <w:adjustRightInd w:val="0"/>
              <w:snapToGrid w:val="0"/>
              <w:spacing w:line="300" w:lineRule="auto"/>
              <w:rPr>
                <w:rFonts w:ascii="宋体" w:hAnsi="宋体"/>
                <w:sz w:val="22"/>
                <w:szCs w:val="22"/>
              </w:rPr>
            </w:pPr>
            <w:r>
              <w:rPr>
                <w:rFonts w:ascii="宋体" w:hAnsi="宋体"/>
                <w:sz w:val="22"/>
                <w:szCs w:val="22"/>
              </w:rPr>
              <w:t>投资者可通过招商银行当地营业网点或招商银行财富账户、个人银行专业版、大众版，办理认购、申购本理财计划份额，也可进行部分赎回或全额赎回本理财计划份额。</w:t>
            </w:r>
          </w:p>
        </w:tc>
      </w:tr>
      <w:tr w:rsidR="008319DB">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节假日</w:t>
            </w:r>
          </w:p>
        </w:tc>
        <w:tc>
          <w:tcPr>
            <w:tcW w:w="6338" w:type="dxa"/>
          </w:tcPr>
          <w:p w:rsidR="008319DB" w:rsidRDefault="000D0DF8">
            <w:pPr>
              <w:adjustRightInd w:val="0"/>
              <w:snapToGrid w:val="0"/>
              <w:spacing w:line="300" w:lineRule="auto"/>
              <w:ind w:left="2310" w:hangingChars="1050" w:hanging="2310"/>
              <w:rPr>
                <w:rFonts w:ascii="宋体" w:hAnsi="宋体"/>
                <w:sz w:val="22"/>
                <w:szCs w:val="22"/>
              </w:rPr>
            </w:pPr>
            <w:r>
              <w:rPr>
                <w:rFonts w:ascii="宋体" w:hAnsi="宋体"/>
                <w:sz w:val="22"/>
                <w:szCs w:val="22"/>
              </w:rPr>
              <w:t>中国法定公众假日。</w:t>
            </w:r>
          </w:p>
        </w:tc>
      </w:tr>
      <w:tr w:rsidR="008319DB">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工作日</w:t>
            </w:r>
          </w:p>
        </w:tc>
        <w:tc>
          <w:tcPr>
            <w:tcW w:w="6338" w:type="dxa"/>
          </w:tcPr>
          <w:p w:rsidR="008319DB" w:rsidRDefault="000D0DF8">
            <w:pPr>
              <w:adjustRightInd w:val="0"/>
              <w:snapToGrid w:val="0"/>
              <w:spacing w:line="300" w:lineRule="auto"/>
              <w:ind w:left="2310" w:hangingChars="1050" w:hanging="2310"/>
              <w:rPr>
                <w:rFonts w:ascii="宋体" w:hAnsi="宋体"/>
                <w:sz w:val="22"/>
                <w:szCs w:val="22"/>
              </w:rPr>
            </w:pPr>
            <w:r>
              <w:rPr>
                <w:rFonts w:ascii="宋体" w:hAnsi="宋体"/>
                <w:sz w:val="22"/>
                <w:szCs w:val="22"/>
              </w:rPr>
              <w:t>除去周六、周日及节假日</w:t>
            </w:r>
            <w:r>
              <w:rPr>
                <w:rFonts w:ascii="宋体" w:hAnsi="宋体" w:hint="eastAsia"/>
                <w:sz w:val="22"/>
                <w:szCs w:val="22"/>
              </w:rPr>
              <w:t>的日期</w:t>
            </w:r>
            <w:r>
              <w:rPr>
                <w:rFonts w:ascii="宋体" w:hAnsi="宋体"/>
                <w:sz w:val="22"/>
                <w:szCs w:val="22"/>
              </w:rPr>
              <w:t>。</w:t>
            </w:r>
          </w:p>
        </w:tc>
      </w:tr>
      <w:tr w:rsidR="008319DB">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交易日</w:t>
            </w:r>
          </w:p>
        </w:tc>
        <w:tc>
          <w:tcPr>
            <w:tcW w:w="6338" w:type="dxa"/>
          </w:tcPr>
          <w:p w:rsidR="008319DB" w:rsidRDefault="000224C9" w:rsidP="00065599">
            <w:pPr>
              <w:adjustRightInd w:val="0"/>
              <w:snapToGrid w:val="0"/>
              <w:spacing w:line="300" w:lineRule="auto"/>
              <w:ind w:left="110" w:hangingChars="50" w:hanging="110"/>
              <w:rPr>
                <w:rFonts w:ascii="宋体" w:hAnsi="宋体"/>
                <w:sz w:val="22"/>
                <w:szCs w:val="22"/>
              </w:rPr>
            </w:pPr>
            <w:r>
              <w:rPr>
                <w:rFonts w:ascii="宋体" w:hAnsi="宋体"/>
                <w:sz w:val="22"/>
                <w:szCs w:val="22"/>
              </w:rPr>
              <w:t>在理财计划存续期内，</w:t>
            </w:r>
            <w:r>
              <w:rPr>
                <w:rFonts w:ascii="宋体" w:hAnsi="宋体" w:hint="eastAsia"/>
                <w:sz w:val="22"/>
                <w:szCs w:val="22"/>
              </w:rPr>
              <w:t>每个工作日均为</w:t>
            </w:r>
            <w:r>
              <w:rPr>
                <w:rFonts w:ascii="宋体" w:hAnsi="宋体"/>
                <w:sz w:val="22"/>
                <w:szCs w:val="22"/>
              </w:rPr>
              <w:t>交易日</w:t>
            </w:r>
            <w:r>
              <w:rPr>
                <w:rFonts w:ascii="宋体" w:hAnsi="宋体" w:hint="eastAsia"/>
                <w:sz w:val="22"/>
                <w:szCs w:val="22"/>
              </w:rPr>
              <w:t>。</w:t>
            </w:r>
          </w:p>
        </w:tc>
      </w:tr>
      <w:tr w:rsidR="008319DB">
        <w:trPr>
          <w:trHeight w:val="166"/>
        </w:trPr>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对账单</w:t>
            </w:r>
          </w:p>
        </w:tc>
        <w:tc>
          <w:tcPr>
            <w:tcW w:w="6338" w:type="dxa"/>
          </w:tcPr>
          <w:p w:rsidR="008319DB" w:rsidRDefault="000D0DF8">
            <w:pPr>
              <w:adjustRightInd w:val="0"/>
              <w:snapToGrid w:val="0"/>
              <w:spacing w:line="300" w:lineRule="auto"/>
              <w:ind w:left="2310" w:hangingChars="1050" w:hanging="2310"/>
              <w:rPr>
                <w:rFonts w:ascii="宋体" w:hAnsi="宋体"/>
                <w:sz w:val="22"/>
                <w:szCs w:val="22"/>
              </w:rPr>
            </w:pPr>
            <w:r>
              <w:rPr>
                <w:rFonts w:ascii="宋体" w:hAnsi="宋体"/>
                <w:sz w:val="22"/>
                <w:szCs w:val="22"/>
              </w:rPr>
              <w:t>本理财计划不提供对账单。</w:t>
            </w:r>
          </w:p>
        </w:tc>
      </w:tr>
      <w:tr w:rsidR="008319DB">
        <w:tc>
          <w:tcPr>
            <w:tcW w:w="2076" w:type="dxa"/>
          </w:tcPr>
          <w:p w:rsidR="008319DB" w:rsidRDefault="000D0DF8">
            <w:pPr>
              <w:adjustRightInd w:val="0"/>
              <w:snapToGrid w:val="0"/>
              <w:spacing w:line="300" w:lineRule="auto"/>
              <w:rPr>
                <w:rFonts w:ascii="宋体" w:hAnsi="宋体"/>
                <w:sz w:val="22"/>
                <w:szCs w:val="22"/>
              </w:rPr>
            </w:pPr>
            <w:r>
              <w:rPr>
                <w:rFonts w:ascii="宋体" w:hAnsi="宋体"/>
                <w:sz w:val="22"/>
                <w:szCs w:val="22"/>
              </w:rPr>
              <w:t>税款</w:t>
            </w:r>
          </w:p>
        </w:tc>
        <w:tc>
          <w:tcPr>
            <w:tcW w:w="6338" w:type="dxa"/>
          </w:tcPr>
          <w:p w:rsidR="008319DB" w:rsidRDefault="000D0DF8">
            <w:pPr>
              <w:adjustRightInd w:val="0"/>
              <w:snapToGrid w:val="0"/>
              <w:spacing w:line="300" w:lineRule="auto"/>
              <w:ind w:left="2310" w:hangingChars="1050" w:hanging="2310"/>
              <w:rPr>
                <w:rFonts w:ascii="宋体" w:hAnsi="宋体"/>
                <w:sz w:val="22"/>
                <w:szCs w:val="22"/>
              </w:rPr>
            </w:pPr>
            <w:r>
              <w:rPr>
                <w:rFonts w:ascii="宋体" w:hAnsi="宋体"/>
                <w:sz w:val="22"/>
                <w:szCs w:val="22"/>
              </w:rPr>
              <w:t xml:space="preserve">理财收益的应纳税款由投资者自行申报及缴纳。 </w:t>
            </w:r>
          </w:p>
        </w:tc>
      </w:tr>
    </w:tbl>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hint="eastAsia"/>
          <w:b/>
          <w:sz w:val="24"/>
        </w:rPr>
        <w:t>本金及理财收益</w:t>
      </w:r>
    </w:p>
    <w:p w:rsidR="008319DB" w:rsidRDefault="000D0DF8">
      <w:pPr>
        <w:rPr>
          <w:rFonts w:ascii="宋体" w:hAnsi="宋体"/>
          <w:b/>
          <w:sz w:val="22"/>
          <w:szCs w:val="22"/>
        </w:rPr>
      </w:pPr>
      <w:r>
        <w:rPr>
          <w:rFonts w:ascii="宋体" w:hAnsi="宋体" w:hint="eastAsia"/>
          <w:sz w:val="22"/>
          <w:szCs w:val="22"/>
        </w:rPr>
        <w:t>1.</w:t>
      </w:r>
      <w:r>
        <w:rPr>
          <w:rFonts w:ascii="宋体" w:hAnsi="宋体" w:hint="eastAsia"/>
          <w:b/>
          <w:sz w:val="22"/>
          <w:szCs w:val="22"/>
        </w:rPr>
        <w:t>本理财计划招商银行不承诺理财本金和收益保证。</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2. 理财计划到期年化收益率</w:t>
      </w:r>
    </w:p>
    <w:p w:rsidR="008319DB" w:rsidRDefault="000D0DF8">
      <w:pPr>
        <w:rPr>
          <w:rFonts w:ascii="宋体" w:hAnsi="宋体"/>
          <w:b/>
          <w:sz w:val="22"/>
          <w:szCs w:val="22"/>
        </w:rPr>
      </w:pPr>
      <w:r>
        <w:rPr>
          <w:rFonts w:ascii="宋体" w:hAnsi="宋体" w:hint="eastAsia"/>
          <w:sz w:val="22"/>
          <w:szCs w:val="22"/>
        </w:rPr>
        <w:t>（1）本理财计划类型为非保本浮动收益类，本理财计划收益率根据市场利率的变化以及招商银行实际投资运作的情况计算。</w:t>
      </w:r>
      <w:r>
        <w:rPr>
          <w:rFonts w:ascii="宋体" w:hAnsi="宋体" w:hint="eastAsia"/>
          <w:b/>
          <w:sz w:val="22"/>
          <w:szCs w:val="22"/>
        </w:rPr>
        <w:t>招商银行于每个理财计划交易日计算并公布理财计划上一交易日的理财收益率（年率）</w:t>
      </w:r>
      <w:r>
        <w:rPr>
          <w:rFonts w:ascii="宋体" w:hAnsi="宋体" w:hint="eastAsia"/>
          <w:sz w:val="22"/>
          <w:szCs w:val="22"/>
        </w:rPr>
        <w:t>（扣除银行费用后，下同）。</w:t>
      </w:r>
      <w:r>
        <w:rPr>
          <w:rFonts w:ascii="宋体" w:hAnsi="宋体" w:hint="eastAsia"/>
          <w:b/>
          <w:sz w:val="22"/>
          <w:szCs w:val="22"/>
        </w:rPr>
        <w:t>该收益率仅供客户购买时决策参考，并不代表该理财计划未来的表现，也不构成招商银行对本理财计划收益的任何承诺或保证。理财计划费用包括银行费用和其他费用。银行费用包括:托管费、管</w:t>
      </w:r>
      <w:r>
        <w:rPr>
          <w:rFonts w:ascii="宋体" w:hAnsi="宋体" w:hint="eastAsia"/>
          <w:b/>
          <w:sz w:val="22"/>
          <w:szCs w:val="22"/>
        </w:rPr>
        <w:lastRenderedPageBreak/>
        <w:t>理费等，银行费用根据理财计划上一交易日理财计划余额按日计提，按月支付。</w:t>
      </w:r>
      <w:r>
        <w:rPr>
          <w:rFonts w:ascii="宋体" w:hAnsi="宋体"/>
          <w:b/>
          <w:sz w:val="22"/>
          <w:szCs w:val="22"/>
        </w:rPr>
        <w:t>如果本理财计划通过单一资金信托计划进行</w:t>
      </w:r>
      <w:r>
        <w:rPr>
          <w:rFonts w:ascii="宋体" w:hAnsi="宋体" w:hint="eastAsia"/>
          <w:b/>
          <w:sz w:val="22"/>
          <w:szCs w:val="22"/>
        </w:rPr>
        <w:t>投资的（如</w:t>
      </w:r>
      <w:r>
        <w:rPr>
          <w:rFonts w:ascii="宋体" w:hAnsi="宋体"/>
          <w:b/>
          <w:sz w:val="22"/>
          <w:szCs w:val="22"/>
        </w:rPr>
        <w:t>可转换债券（含分离交易可转债）申购</w:t>
      </w:r>
      <w:r>
        <w:rPr>
          <w:rFonts w:ascii="宋体" w:hAnsi="宋体" w:hint="eastAsia"/>
          <w:b/>
          <w:sz w:val="22"/>
          <w:szCs w:val="22"/>
        </w:rPr>
        <w:t>、</w:t>
      </w:r>
      <w:r>
        <w:rPr>
          <w:rFonts w:ascii="宋体" w:hAnsi="宋体"/>
          <w:b/>
          <w:sz w:val="22"/>
          <w:szCs w:val="22"/>
        </w:rPr>
        <w:t>参与同业存款</w:t>
      </w:r>
      <w:r>
        <w:rPr>
          <w:rFonts w:ascii="宋体" w:hAnsi="宋体" w:hint="eastAsia"/>
          <w:b/>
          <w:sz w:val="22"/>
          <w:szCs w:val="22"/>
        </w:rPr>
        <w:t>、</w:t>
      </w:r>
      <w:r>
        <w:rPr>
          <w:rFonts w:ascii="宋体" w:hAnsi="宋体"/>
          <w:b/>
          <w:sz w:val="22"/>
          <w:szCs w:val="22"/>
        </w:rPr>
        <w:t>交易所债券回购等</w:t>
      </w:r>
      <w:r>
        <w:rPr>
          <w:rFonts w:ascii="宋体" w:hAnsi="宋体" w:hint="eastAsia"/>
          <w:b/>
          <w:sz w:val="22"/>
          <w:szCs w:val="22"/>
        </w:rPr>
        <w:t>）</w:t>
      </w:r>
      <w:r>
        <w:rPr>
          <w:rFonts w:ascii="宋体" w:hAnsi="宋体"/>
          <w:b/>
          <w:sz w:val="22"/>
          <w:szCs w:val="22"/>
        </w:rPr>
        <w:t>，信托费用</w:t>
      </w:r>
      <w:r>
        <w:rPr>
          <w:rFonts w:ascii="宋体" w:hAnsi="宋体" w:hint="eastAsia"/>
          <w:b/>
          <w:sz w:val="22"/>
          <w:szCs w:val="22"/>
        </w:rPr>
        <w:t>和保管费用将以实际费率标准，该费用</w:t>
      </w:r>
      <w:r>
        <w:rPr>
          <w:rFonts w:ascii="宋体" w:hAnsi="宋体"/>
          <w:b/>
          <w:sz w:val="22"/>
          <w:szCs w:val="22"/>
        </w:rPr>
        <w:t>按信托财产净值从信托财产中每日计提，并将在信托财产全部变现返还招商银行时从信托财产中扣除。</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（2）本理财计划投资者总收益为：自理财计划申购</w:t>
      </w:r>
      <w:r w:rsidR="000224C9">
        <w:rPr>
          <w:rFonts w:ascii="宋体" w:hAnsi="宋体" w:hint="eastAsia"/>
          <w:sz w:val="22"/>
          <w:szCs w:val="22"/>
        </w:rPr>
        <w:t>确认</w:t>
      </w:r>
      <w:r>
        <w:rPr>
          <w:rFonts w:ascii="宋体" w:hAnsi="宋体" w:hint="eastAsia"/>
          <w:sz w:val="22"/>
          <w:szCs w:val="22"/>
        </w:rPr>
        <w:t>日（如为理财计划认购则为理财计划成立日）起至赎回</w:t>
      </w:r>
      <w:r w:rsidR="000224C9">
        <w:rPr>
          <w:rFonts w:ascii="宋体" w:hAnsi="宋体" w:hint="eastAsia"/>
          <w:sz w:val="22"/>
          <w:szCs w:val="22"/>
        </w:rPr>
        <w:t>确认</w:t>
      </w:r>
      <w:r>
        <w:rPr>
          <w:rFonts w:ascii="宋体" w:hAnsi="宋体" w:hint="eastAsia"/>
          <w:sz w:val="22"/>
          <w:szCs w:val="22"/>
        </w:rPr>
        <w:t>日（不含该日）或理财计划终止日（不含该日）期间相应理财计划资金每日的当日理财收益之总和。</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3）投资者持有本理财计划遇非交易日的，非交易日的理财收益率适用前一交易日的理财收益率（例如：投资者周一赎回理财计划，周六及周日为非交易日，周六及周日的理财收益率按周五（若前一交易日为周五）的收益率计算）。</w:t>
      </w:r>
    </w:p>
    <w:p w:rsidR="008319DB" w:rsidRDefault="000D0DF8">
      <w:pPr>
        <w:rPr>
          <w:rFonts w:ascii="宋体" w:hAnsi="宋体"/>
          <w:sz w:val="22"/>
          <w:szCs w:val="22"/>
        </w:rPr>
      </w:pPr>
      <w:r>
        <w:rPr>
          <w:rFonts w:ascii="宋体" w:hAnsi="宋体" w:hint="eastAsia"/>
          <w:sz w:val="22"/>
          <w:szCs w:val="22"/>
        </w:rPr>
        <w:t>（4）理财计划收益率的公布时间：招商银行每个交易日上午9:30前通过“一网通”公布上一交易日的理财收益率（年率）。</w:t>
      </w:r>
    </w:p>
    <w:p w:rsidR="008319DB" w:rsidRDefault="000D0DF8">
      <w:pPr>
        <w:rPr>
          <w:rFonts w:ascii="宋体" w:hAnsi="宋体"/>
          <w:sz w:val="22"/>
          <w:szCs w:val="22"/>
        </w:rPr>
      </w:pPr>
      <w:r>
        <w:rPr>
          <w:rFonts w:ascii="宋体" w:hAnsi="宋体" w:hint="eastAsia"/>
          <w:sz w:val="22"/>
          <w:szCs w:val="22"/>
        </w:rPr>
        <w:t>3.相关费用</w:t>
      </w:r>
    </w:p>
    <w:p w:rsidR="008319DB" w:rsidRDefault="000D0DF8">
      <w:pPr>
        <w:rPr>
          <w:rFonts w:ascii="宋体" w:hAnsi="宋体"/>
          <w:sz w:val="22"/>
          <w:szCs w:val="22"/>
        </w:rPr>
      </w:pPr>
      <w:r>
        <w:rPr>
          <w:rFonts w:ascii="宋体" w:hAnsi="宋体" w:hint="eastAsia"/>
          <w:sz w:val="22"/>
          <w:szCs w:val="22"/>
        </w:rPr>
        <w:t>（1）本理财计划托管费率：0.10%/年</w:t>
      </w:r>
    </w:p>
    <w:p w:rsidR="008319DB" w:rsidRDefault="000D0DF8">
      <w:pPr>
        <w:rPr>
          <w:rFonts w:ascii="宋体" w:hAnsi="宋体"/>
          <w:sz w:val="22"/>
          <w:szCs w:val="22"/>
        </w:rPr>
      </w:pPr>
      <w:r>
        <w:rPr>
          <w:rFonts w:ascii="宋体" w:hAnsi="宋体" w:hint="eastAsia"/>
          <w:sz w:val="22"/>
          <w:szCs w:val="22"/>
        </w:rPr>
        <w:t>（2）本理财计划管理费率：0.60%/年</w:t>
      </w:r>
    </w:p>
    <w:p w:rsidR="008319DB" w:rsidRDefault="000D0DF8">
      <w:pPr>
        <w:rPr>
          <w:rFonts w:ascii="宋体" w:hAnsi="宋体"/>
          <w:b/>
          <w:sz w:val="22"/>
          <w:szCs w:val="22"/>
        </w:rPr>
      </w:pPr>
      <w:r>
        <w:rPr>
          <w:rFonts w:ascii="宋体" w:hAnsi="宋体" w:hint="eastAsia"/>
          <w:b/>
          <w:sz w:val="22"/>
          <w:szCs w:val="22"/>
        </w:rPr>
        <w:t>银行有权根据相关法律和国家政策的规定，对本理财计划的收费项目、条件、标准和方式进行调整。投资者对此无异议且同意在上述情况下继续持有本理财计划。</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 xml:space="preserve">4.理财收益的测算依据和测算方法： </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（1）投资者当日持有的本理财计划余额＝投资者上一日持有的本理财计划余额＋（投资者当日认购或申购</w:t>
      </w:r>
      <w:r w:rsidR="000224C9">
        <w:rPr>
          <w:rFonts w:ascii="宋体" w:hAnsi="宋体" w:hint="eastAsia"/>
          <w:sz w:val="22"/>
          <w:szCs w:val="22"/>
        </w:rPr>
        <w:t>并经确认的</w:t>
      </w:r>
      <w:r>
        <w:rPr>
          <w:rFonts w:ascii="宋体" w:hAnsi="宋体" w:hint="eastAsia"/>
          <w:sz w:val="22"/>
          <w:szCs w:val="22"/>
        </w:rPr>
        <w:t>本理财计划的金额－投资者当日赎回</w:t>
      </w:r>
      <w:r w:rsidR="000224C9">
        <w:rPr>
          <w:rFonts w:ascii="宋体" w:hAnsi="宋体" w:hint="eastAsia"/>
          <w:sz w:val="22"/>
          <w:szCs w:val="22"/>
        </w:rPr>
        <w:t>并经确认的</w:t>
      </w:r>
      <w:r>
        <w:rPr>
          <w:rFonts w:ascii="宋体" w:hAnsi="宋体" w:hint="eastAsia"/>
          <w:sz w:val="22"/>
          <w:szCs w:val="22"/>
        </w:rPr>
        <w:t xml:space="preserve">本理财计划的金额）; </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 xml:space="preserve">（2）投资者当日持有的本理财计划余额以招商银行理财系统完成当日清算后记录的余额为准; </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（3）投资者的当日理财收益＝该投资者当日持有的本理财计划余额×当日理财收益率（年率）÷365</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（4）投资者总收益＝自理财计划申购</w:t>
      </w:r>
      <w:r w:rsidR="000224C9">
        <w:rPr>
          <w:rFonts w:ascii="宋体" w:hAnsi="宋体" w:hint="eastAsia"/>
          <w:sz w:val="22"/>
          <w:szCs w:val="22"/>
        </w:rPr>
        <w:t>确认</w:t>
      </w:r>
      <w:r>
        <w:rPr>
          <w:rFonts w:ascii="宋体" w:hAnsi="宋体" w:hint="eastAsia"/>
          <w:sz w:val="22"/>
          <w:szCs w:val="22"/>
        </w:rPr>
        <w:t>日（如为理财计划认购则为理财计划成立日）起至赎回</w:t>
      </w:r>
      <w:r w:rsidR="000224C9">
        <w:rPr>
          <w:rFonts w:ascii="宋体" w:hAnsi="宋体" w:hint="eastAsia"/>
          <w:sz w:val="22"/>
          <w:szCs w:val="22"/>
        </w:rPr>
        <w:t>确认</w:t>
      </w:r>
      <w:r>
        <w:rPr>
          <w:rFonts w:ascii="宋体" w:hAnsi="宋体" w:hint="eastAsia"/>
          <w:sz w:val="22"/>
          <w:szCs w:val="22"/>
        </w:rPr>
        <w:t xml:space="preserve">日（不含该日）或理财计划到期日（不含该日）期间相应理财计划资金每日的当日理财收益之总和； </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 xml:space="preserve">（5）投资者每日的理财收益不计复利； </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（6）投资者通过两个以上账户购买本理财计划的，理财收益按购买本理财计划的账户分别计算。</w:t>
      </w:r>
    </w:p>
    <w:p w:rsidR="008319DB" w:rsidRDefault="000D0DF8">
      <w:pPr>
        <w:adjustRightInd w:val="0"/>
        <w:snapToGrid w:val="0"/>
        <w:spacing w:line="300" w:lineRule="auto"/>
        <w:rPr>
          <w:rFonts w:ascii="宋体" w:hAnsi="宋体"/>
          <w:sz w:val="22"/>
          <w:szCs w:val="22"/>
        </w:rPr>
      </w:pPr>
      <w:r>
        <w:rPr>
          <w:rFonts w:ascii="宋体" w:hAnsi="宋体" w:hint="eastAsia"/>
          <w:b/>
          <w:sz w:val="22"/>
          <w:szCs w:val="22"/>
        </w:rPr>
        <w:t>（7）在投资者赎回理财产品时，如果理财计划存续期间的理财收益为负的情况下，即使按照赎回价格1元人民币为1份计算，但相关负收益将从根据前述规则计算所得的资金中进行相应扣除，扣除后所得的资金方为投资者最终可实际获得的赎回资金。</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5.理财收益的测算示例：</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（1）投资者为正收益：如投资者当日持有本理财计划50000份，如果</w:t>
      </w:r>
      <w:r w:rsidR="000224C9">
        <w:rPr>
          <w:rFonts w:ascii="宋体" w:hAnsi="宋体" w:hint="eastAsia"/>
          <w:sz w:val="22"/>
          <w:szCs w:val="22"/>
        </w:rPr>
        <w:t>当日</w:t>
      </w:r>
      <w:r>
        <w:rPr>
          <w:rFonts w:ascii="宋体" w:hAnsi="宋体" w:hint="eastAsia"/>
          <w:sz w:val="22"/>
          <w:szCs w:val="22"/>
        </w:rPr>
        <w:t>理财收益率为2.1％（年率），则该投资者的</w:t>
      </w:r>
      <w:r w:rsidR="000224C9">
        <w:rPr>
          <w:rFonts w:ascii="宋体" w:hAnsi="宋体" w:hint="eastAsia"/>
          <w:sz w:val="22"/>
          <w:szCs w:val="22"/>
        </w:rPr>
        <w:t>当日</w:t>
      </w:r>
      <w:r>
        <w:rPr>
          <w:rFonts w:ascii="宋体" w:hAnsi="宋体" w:hint="eastAsia"/>
          <w:sz w:val="22"/>
          <w:szCs w:val="22"/>
        </w:rPr>
        <w:t>理财收益为：50000×2.1％÷365＝2.88元。</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（2）投资者为负收益：如投资者当日持有本理财计划50000份，如果</w:t>
      </w:r>
      <w:r w:rsidR="000224C9">
        <w:rPr>
          <w:rFonts w:ascii="宋体" w:hAnsi="宋体" w:hint="eastAsia"/>
          <w:sz w:val="22"/>
          <w:szCs w:val="22"/>
        </w:rPr>
        <w:t>当日</w:t>
      </w:r>
      <w:r>
        <w:rPr>
          <w:rFonts w:ascii="宋体" w:hAnsi="宋体" w:hint="eastAsia"/>
          <w:sz w:val="22"/>
          <w:szCs w:val="22"/>
        </w:rPr>
        <w:t>理财收益率为-2.1％（年率），则该投资者的</w:t>
      </w:r>
      <w:r w:rsidR="000224C9">
        <w:rPr>
          <w:rFonts w:ascii="宋体" w:hAnsi="宋体" w:hint="eastAsia"/>
          <w:sz w:val="22"/>
          <w:szCs w:val="22"/>
        </w:rPr>
        <w:t>当日</w:t>
      </w:r>
      <w:r>
        <w:rPr>
          <w:rFonts w:ascii="宋体" w:hAnsi="宋体" w:hint="eastAsia"/>
          <w:sz w:val="22"/>
          <w:szCs w:val="22"/>
        </w:rPr>
        <w:t>理财收益为：50000×-2.1％÷365＝-2.88元。</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lastRenderedPageBreak/>
        <w:t>（3）投资者周一赎回理财计划，此前的周六及周日为非交易日，如果周五（若周一前一交易日为周五）的收益率为2.3％，则周六及周日的理财收益率均按2.3％计算。</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4）市场波动导致资产池内债券价格下跌、或由于企业信用恶化导致债券违约，有可能导致本理财计划收益率为零甚至为负，投资者在赎回或者到期时有可能损失理财本金，在最不利的情况下，本理财计划有可能损失全部本金，则由此产生的本金和理财收益不确定的风险由投资者自行承担。</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（测算收益不等于实际收益，投资须谨慎）</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6. 风险示例：</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本理财计划实际理财收益率容易受到企业信用变化、市场利率的变化、实际投资运作情况以及投资管理方投资能力的影响，在最不利的情况下，本理财计划收益率可能为零或负，理财计划有可能损失全部本金。</w:t>
      </w:r>
    </w:p>
    <w:p w:rsidR="008319DB" w:rsidRDefault="000D0DF8">
      <w:pPr>
        <w:autoSpaceDE w:val="0"/>
        <w:autoSpaceDN w:val="0"/>
        <w:adjustRightInd w:val="0"/>
        <w:snapToGrid w:val="0"/>
        <w:spacing w:line="300" w:lineRule="auto"/>
        <w:ind w:firstLineChars="200" w:firstLine="440"/>
        <w:jc w:val="left"/>
        <w:rPr>
          <w:rFonts w:ascii="宋体" w:hAnsi="宋体"/>
          <w:color w:val="000000"/>
          <w:kern w:val="0"/>
          <w:sz w:val="22"/>
          <w:szCs w:val="22"/>
          <w:lang w:val="zh-CN"/>
        </w:rPr>
      </w:pPr>
      <w:r>
        <w:rPr>
          <w:rFonts w:ascii="宋体" w:hAnsi="宋体" w:hint="eastAsia"/>
          <w:color w:val="000000"/>
          <w:kern w:val="0"/>
          <w:sz w:val="22"/>
          <w:szCs w:val="22"/>
          <w:lang w:val="zh-CN"/>
        </w:rPr>
        <w:t>风险示例：若由于市场剧烈波动或者发生信用风险，本理财计划到期未能正常处置资产组合，则到期时实际出让或处分的处置收益有可能不足以支付理财计划到期年化收益率，甚至投资者将损失部分或全部本金。</w:t>
      </w:r>
    </w:p>
    <w:p w:rsidR="008319DB" w:rsidRDefault="008319DB">
      <w:pPr>
        <w:adjustRightInd w:val="0"/>
        <w:snapToGrid w:val="0"/>
        <w:spacing w:line="300" w:lineRule="auto"/>
        <w:rPr>
          <w:rFonts w:ascii="宋体" w:hAnsi="宋体"/>
          <w:sz w:val="22"/>
          <w:szCs w:val="22"/>
        </w:rPr>
      </w:pPr>
    </w:p>
    <w:p w:rsidR="008319DB" w:rsidRDefault="000D0DF8">
      <w:pPr>
        <w:rPr>
          <w:rFonts w:ascii="宋体" w:hAnsi="宋体" w:cs="Arial"/>
          <w:b/>
          <w:sz w:val="24"/>
        </w:rPr>
      </w:pPr>
      <w:r>
        <w:rPr>
          <w:rFonts w:ascii="宋体" w:hAnsi="宋体" w:cs="Arial" w:hint="eastAsia"/>
          <w:b/>
          <w:sz w:val="24"/>
        </w:rPr>
        <w:t xml:space="preserve">本金及理财收益支付 </w:t>
      </w:r>
    </w:p>
    <w:p w:rsidR="008319DB" w:rsidRDefault="000D0DF8">
      <w:pPr>
        <w:rPr>
          <w:rFonts w:ascii="宋体" w:hAnsi="宋体"/>
          <w:sz w:val="22"/>
          <w:szCs w:val="22"/>
        </w:rPr>
      </w:pPr>
      <w:r>
        <w:rPr>
          <w:rFonts w:ascii="宋体" w:hAnsi="宋体" w:hint="eastAsia"/>
          <w:sz w:val="22"/>
          <w:szCs w:val="22"/>
        </w:rPr>
        <w:t>1. 本金及收益支付:</w:t>
      </w:r>
    </w:p>
    <w:p w:rsidR="008319DB" w:rsidRDefault="000D0DF8">
      <w:pPr>
        <w:rPr>
          <w:rFonts w:ascii="宋体" w:hAnsi="宋体"/>
          <w:sz w:val="22"/>
          <w:szCs w:val="22"/>
        </w:rPr>
      </w:pPr>
      <w:r>
        <w:rPr>
          <w:rFonts w:ascii="宋体" w:hAnsi="宋体" w:hint="eastAsia"/>
          <w:sz w:val="22"/>
          <w:szCs w:val="22"/>
        </w:rPr>
        <w:t>（1）如投资者未赎回理财计划，则招商银行于每月</w:t>
      </w:r>
      <w:r w:rsidR="00451FD7">
        <w:rPr>
          <w:rFonts w:ascii="宋体" w:hAnsi="宋体" w:hint="eastAsia"/>
          <w:sz w:val="22"/>
          <w:szCs w:val="22"/>
        </w:rPr>
        <w:t>27日（</w:t>
      </w:r>
      <w:r w:rsidR="00D4430F">
        <w:rPr>
          <w:rFonts w:ascii="宋体" w:hAnsi="宋体" w:hint="eastAsia"/>
          <w:sz w:val="22"/>
          <w:szCs w:val="22"/>
        </w:rPr>
        <w:t>收益分配登记日</w:t>
      </w:r>
      <w:r w:rsidR="00451FD7">
        <w:rPr>
          <w:rFonts w:ascii="宋体" w:hAnsi="宋体" w:hint="eastAsia"/>
          <w:sz w:val="22"/>
          <w:szCs w:val="22"/>
        </w:rPr>
        <w:t>）</w:t>
      </w:r>
      <w:r>
        <w:rPr>
          <w:rFonts w:ascii="宋体" w:hAnsi="宋体" w:hint="eastAsia"/>
          <w:sz w:val="22"/>
          <w:szCs w:val="22"/>
        </w:rPr>
        <w:t>计算上一个月的理财收益（如有，下同），并于3个交易日内向投资者支付理财收益，逢节假日顺延；如投资者进行赎回，则赎回时的本金及收益支付内容详见“赎回时的本金及收益支付”。</w:t>
      </w:r>
    </w:p>
    <w:p w:rsidR="008319DB" w:rsidRDefault="000D0DF8">
      <w:pPr>
        <w:rPr>
          <w:rFonts w:ascii="宋体" w:hAnsi="宋体"/>
          <w:sz w:val="22"/>
          <w:szCs w:val="22"/>
        </w:rPr>
      </w:pPr>
      <w:r>
        <w:rPr>
          <w:rFonts w:ascii="宋体" w:hAnsi="宋体" w:hint="eastAsia"/>
          <w:sz w:val="22"/>
          <w:szCs w:val="22"/>
        </w:rPr>
        <w:t>（2）如果招商银行提前终止本理财计划，招商银行将投资者当日持有的理财计划余额对应的本金与理财收益于提前终止到期日（逢假期顺延到下一交易日）后的3个交易日内划转至投资者指定账户。</w:t>
      </w:r>
    </w:p>
    <w:p w:rsidR="008319DB" w:rsidRDefault="000D0DF8">
      <w:pPr>
        <w:rPr>
          <w:rFonts w:ascii="宋体" w:hAnsi="宋体"/>
          <w:sz w:val="22"/>
          <w:szCs w:val="22"/>
        </w:rPr>
      </w:pPr>
      <w:r>
        <w:rPr>
          <w:rFonts w:ascii="宋体" w:hAnsi="宋体" w:hint="eastAsia"/>
          <w:sz w:val="22"/>
          <w:szCs w:val="22"/>
        </w:rPr>
        <w:t>2.赎回时的本金及收益支付</w:t>
      </w:r>
      <w:r w:rsidR="000224C9">
        <w:rPr>
          <w:rFonts w:ascii="宋体" w:hAnsi="宋体" w:hint="eastAsia"/>
          <w:sz w:val="22"/>
          <w:szCs w:val="22"/>
        </w:rPr>
        <w:t>详见“</w:t>
      </w:r>
      <w:r w:rsidR="000224C9" w:rsidRPr="00F0527F">
        <w:rPr>
          <w:rFonts w:ascii="宋体" w:hAnsi="宋体" w:hint="eastAsia"/>
          <w:b/>
          <w:sz w:val="22"/>
          <w:szCs w:val="22"/>
        </w:rPr>
        <w:t>理财计划赎回</w:t>
      </w:r>
      <w:r w:rsidR="000224C9">
        <w:rPr>
          <w:rFonts w:ascii="宋体" w:hAnsi="宋体" w:hint="eastAsia"/>
          <w:sz w:val="22"/>
          <w:szCs w:val="22"/>
        </w:rPr>
        <w:t>”</w:t>
      </w:r>
    </w:p>
    <w:p w:rsidR="008319DB" w:rsidRDefault="000D0DF8">
      <w:pPr>
        <w:rPr>
          <w:rFonts w:ascii="宋体" w:hAnsi="宋体"/>
          <w:sz w:val="22"/>
          <w:szCs w:val="22"/>
        </w:rPr>
      </w:pPr>
      <w:r>
        <w:rPr>
          <w:rFonts w:ascii="宋体" w:hAnsi="宋体" w:hint="eastAsia"/>
          <w:sz w:val="22"/>
          <w:szCs w:val="22"/>
        </w:rPr>
        <w:t>3. 理财计划赎回或到期时，如因所投资的债券价格下跌或企业债违约导致理财计划所投资的财产不能全部变现，则招商银行将尽快变现非现金类资产，并将变现后的非现金类资产扣除应承担的费用后向理财计划投资者支付。</w:t>
      </w:r>
    </w:p>
    <w:p w:rsidR="008319DB" w:rsidRDefault="008319DB">
      <w:pPr>
        <w:rPr>
          <w:rFonts w:ascii="宋体" w:hAnsi="宋体" w:cs="Arial"/>
          <w:b/>
          <w:sz w:val="24"/>
        </w:rPr>
      </w:pPr>
    </w:p>
    <w:p w:rsidR="008319DB" w:rsidRDefault="000D0DF8">
      <w:pPr>
        <w:rPr>
          <w:rFonts w:ascii="宋体" w:hAnsi="宋体" w:cs="Arial"/>
          <w:b/>
          <w:sz w:val="24"/>
        </w:rPr>
      </w:pPr>
      <w:r>
        <w:rPr>
          <w:rFonts w:ascii="宋体" w:hAnsi="宋体" w:cs="Arial"/>
          <w:b/>
          <w:sz w:val="24"/>
        </w:rPr>
        <w:t>理财计划认购</w:t>
      </w:r>
    </w:p>
    <w:p w:rsidR="008319DB" w:rsidRDefault="000D0DF8">
      <w:pPr>
        <w:rPr>
          <w:rFonts w:ascii="宋体" w:hAnsi="宋体"/>
          <w:sz w:val="22"/>
          <w:szCs w:val="22"/>
        </w:rPr>
      </w:pPr>
      <w:r>
        <w:rPr>
          <w:rFonts w:ascii="宋体" w:hAnsi="宋体"/>
          <w:sz w:val="22"/>
          <w:szCs w:val="22"/>
        </w:rPr>
        <w:t>1.认购</w:t>
      </w:r>
      <w:r>
        <w:rPr>
          <w:rFonts w:ascii="宋体" w:hAnsi="宋体" w:hint="eastAsia"/>
          <w:sz w:val="22"/>
          <w:szCs w:val="22"/>
        </w:rPr>
        <w:t>价格</w:t>
      </w:r>
      <w:r>
        <w:rPr>
          <w:rFonts w:ascii="宋体" w:hAnsi="宋体"/>
          <w:sz w:val="22"/>
          <w:szCs w:val="22"/>
        </w:rPr>
        <w:t>：1元人民币1份。</w:t>
      </w:r>
    </w:p>
    <w:p w:rsidR="008319DB" w:rsidRDefault="000D0DF8">
      <w:pPr>
        <w:rPr>
          <w:rFonts w:ascii="宋体" w:hAnsi="宋体"/>
          <w:sz w:val="22"/>
          <w:szCs w:val="22"/>
        </w:rPr>
      </w:pPr>
      <w:r>
        <w:rPr>
          <w:rFonts w:ascii="宋体" w:hAnsi="宋体"/>
          <w:sz w:val="22"/>
          <w:szCs w:val="22"/>
        </w:rPr>
        <w:t>2.</w:t>
      </w:r>
      <w:r w:rsidR="007F3DB8" w:rsidRPr="008333A6">
        <w:rPr>
          <w:rFonts w:ascii="宋体" w:hAnsi="宋体"/>
          <w:sz w:val="22"/>
          <w:szCs w:val="22"/>
        </w:rPr>
        <w:t>发行规模</w:t>
      </w:r>
      <w:r>
        <w:rPr>
          <w:rFonts w:ascii="宋体" w:hAnsi="宋体"/>
          <w:sz w:val="22"/>
          <w:szCs w:val="22"/>
        </w:rPr>
        <w:t>：发行规模不设下限，发行规模上限为</w:t>
      </w:r>
      <w:r w:rsidR="007645CF">
        <w:rPr>
          <w:rFonts w:ascii="宋体" w:hAnsi="宋体" w:hint="eastAsia"/>
          <w:sz w:val="22"/>
          <w:szCs w:val="22"/>
        </w:rPr>
        <w:t>7</w:t>
      </w:r>
      <w:r>
        <w:rPr>
          <w:rFonts w:ascii="宋体" w:hAnsi="宋体" w:hint="eastAsia"/>
          <w:sz w:val="22"/>
          <w:szCs w:val="22"/>
        </w:rPr>
        <w:t>00</w:t>
      </w:r>
      <w:r>
        <w:rPr>
          <w:rFonts w:ascii="宋体" w:hAnsi="宋体"/>
          <w:sz w:val="22"/>
          <w:szCs w:val="22"/>
        </w:rPr>
        <w:t>亿元，认购期内如认购金额超过理财计划发行规模上限，则终止认购。</w:t>
      </w:r>
    </w:p>
    <w:p w:rsidR="008319DB" w:rsidRDefault="000D0DF8">
      <w:pPr>
        <w:rPr>
          <w:rFonts w:ascii="宋体" w:hAnsi="宋体"/>
          <w:sz w:val="22"/>
          <w:szCs w:val="22"/>
        </w:rPr>
      </w:pPr>
      <w:r>
        <w:rPr>
          <w:rFonts w:ascii="宋体" w:hAnsi="宋体"/>
          <w:sz w:val="22"/>
          <w:szCs w:val="22"/>
        </w:rPr>
        <w:t>3.理财计划认购期：2011年</w:t>
      </w:r>
      <w:r>
        <w:rPr>
          <w:rFonts w:ascii="宋体" w:hAnsi="宋体" w:hint="eastAsia"/>
          <w:sz w:val="22"/>
          <w:szCs w:val="22"/>
        </w:rPr>
        <w:t>7</w:t>
      </w:r>
      <w:r>
        <w:rPr>
          <w:rFonts w:ascii="宋体" w:hAnsi="宋体"/>
          <w:sz w:val="22"/>
          <w:szCs w:val="22"/>
        </w:rPr>
        <w:t>月</w:t>
      </w:r>
      <w:r>
        <w:rPr>
          <w:rFonts w:ascii="宋体" w:hAnsi="宋体" w:hint="eastAsia"/>
          <w:sz w:val="22"/>
          <w:szCs w:val="22"/>
        </w:rPr>
        <w:t>24</w:t>
      </w:r>
      <w:r>
        <w:rPr>
          <w:rFonts w:ascii="宋体" w:hAnsi="宋体"/>
          <w:sz w:val="22"/>
          <w:szCs w:val="22"/>
        </w:rPr>
        <w:t>日9:</w:t>
      </w:r>
      <w:r>
        <w:rPr>
          <w:rFonts w:ascii="宋体" w:hAnsi="宋体" w:hint="eastAsia"/>
          <w:sz w:val="22"/>
          <w:szCs w:val="22"/>
        </w:rPr>
        <w:t>3</w:t>
      </w:r>
      <w:r>
        <w:rPr>
          <w:rFonts w:ascii="宋体" w:hAnsi="宋体"/>
          <w:sz w:val="22"/>
          <w:szCs w:val="22"/>
        </w:rPr>
        <w:t>0到201</w:t>
      </w:r>
      <w:r>
        <w:rPr>
          <w:rFonts w:ascii="宋体" w:hAnsi="宋体" w:hint="eastAsia"/>
          <w:sz w:val="22"/>
          <w:szCs w:val="22"/>
        </w:rPr>
        <w:t>2</w:t>
      </w:r>
      <w:r>
        <w:rPr>
          <w:rFonts w:ascii="宋体" w:hAnsi="宋体"/>
          <w:sz w:val="22"/>
          <w:szCs w:val="22"/>
        </w:rPr>
        <w:t>年</w:t>
      </w:r>
      <w:r>
        <w:rPr>
          <w:rFonts w:ascii="宋体" w:hAnsi="宋体" w:hint="eastAsia"/>
          <w:sz w:val="22"/>
          <w:szCs w:val="22"/>
        </w:rPr>
        <w:t>7</w:t>
      </w:r>
      <w:r>
        <w:rPr>
          <w:rFonts w:ascii="宋体" w:hAnsi="宋体"/>
          <w:sz w:val="22"/>
          <w:szCs w:val="22"/>
        </w:rPr>
        <w:t>月</w:t>
      </w:r>
      <w:r>
        <w:rPr>
          <w:rFonts w:ascii="宋体" w:hAnsi="宋体" w:hint="eastAsia"/>
          <w:sz w:val="22"/>
          <w:szCs w:val="22"/>
        </w:rPr>
        <w:t>31日</w:t>
      </w:r>
      <w:r>
        <w:rPr>
          <w:rFonts w:ascii="宋体" w:hAnsi="宋体"/>
          <w:sz w:val="22"/>
          <w:szCs w:val="22"/>
        </w:rPr>
        <w:t>，认购期内认购资金按银行活期利率计息。</w:t>
      </w:r>
    </w:p>
    <w:p w:rsidR="008319DB" w:rsidRDefault="000D0DF8">
      <w:pPr>
        <w:rPr>
          <w:rFonts w:ascii="宋体" w:hAnsi="宋体"/>
          <w:sz w:val="22"/>
          <w:szCs w:val="22"/>
        </w:rPr>
      </w:pPr>
      <w:r>
        <w:rPr>
          <w:rFonts w:ascii="宋体" w:hAnsi="宋体"/>
          <w:sz w:val="22"/>
          <w:szCs w:val="22"/>
        </w:rPr>
        <w:t>4.认购登记日：本理财计划于201</w:t>
      </w:r>
      <w:r>
        <w:rPr>
          <w:rFonts w:ascii="宋体" w:hAnsi="宋体" w:hint="eastAsia"/>
          <w:sz w:val="22"/>
          <w:szCs w:val="22"/>
        </w:rPr>
        <w:t>2</w:t>
      </w:r>
      <w:r>
        <w:rPr>
          <w:rFonts w:ascii="宋体" w:hAnsi="宋体"/>
          <w:sz w:val="22"/>
          <w:szCs w:val="22"/>
        </w:rPr>
        <w:t>年</w:t>
      </w:r>
      <w:r>
        <w:rPr>
          <w:rFonts w:ascii="宋体" w:hAnsi="宋体" w:hint="eastAsia"/>
          <w:sz w:val="22"/>
          <w:szCs w:val="22"/>
        </w:rPr>
        <w:t>7</w:t>
      </w:r>
      <w:r>
        <w:rPr>
          <w:rFonts w:ascii="宋体" w:hAnsi="宋体"/>
          <w:sz w:val="22"/>
          <w:szCs w:val="22"/>
        </w:rPr>
        <w:t>月</w:t>
      </w:r>
      <w:r>
        <w:rPr>
          <w:rFonts w:ascii="宋体" w:hAnsi="宋体" w:hint="eastAsia"/>
          <w:sz w:val="22"/>
          <w:szCs w:val="22"/>
        </w:rPr>
        <w:t>31</w:t>
      </w:r>
      <w:r>
        <w:rPr>
          <w:rFonts w:ascii="宋体" w:hAnsi="宋体"/>
          <w:sz w:val="22"/>
          <w:szCs w:val="22"/>
        </w:rPr>
        <w:t>日进行认购登记。</w:t>
      </w:r>
    </w:p>
    <w:p w:rsidR="008319DB" w:rsidRDefault="000D0DF8">
      <w:pPr>
        <w:rPr>
          <w:rFonts w:ascii="宋体" w:hAnsi="宋体"/>
          <w:sz w:val="22"/>
          <w:szCs w:val="22"/>
        </w:rPr>
      </w:pPr>
      <w:r>
        <w:rPr>
          <w:rFonts w:ascii="宋体" w:hAnsi="宋体"/>
          <w:sz w:val="22"/>
          <w:szCs w:val="22"/>
        </w:rPr>
        <w:t>5.认购手续：在理财计划认购期内，请携带本人身份证和招商银行“一卡通”到招商银行当地营业网点办理或通过网上银行（大众版、专业版、财富账户专业版）认购。</w:t>
      </w:r>
    </w:p>
    <w:p w:rsidR="008319DB" w:rsidRDefault="000D0DF8">
      <w:pPr>
        <w:rPr>
          <w:rFonts w:ascii="宋体" w:hAnsi="宋体"/>
          <w:sz w:val="22"/>
          <w:szCs w:val="22"/>
        </w:rPr>
      </w:pPr>
      <w:r>
        <w:rPr>
          <w:rFonts w:ascii="宋体" w:hAnsi="宋体"/>
          <w:sz w:val="22"/>
          <w:szCs w:val="22"/>
        </w:rPr>
        <w:t>6.认购份额：在理财计划认购期内，投资者首次认购单笔最低限额为5万份，高于认购单笔最低限额的份额须为1份的整数倍。</w:t>
      </w:r>
    </w:p>
    <w:p w:rsidR="008319DB" w:rsidRDefault="000D0DF8">
      <w:pPr>
        <w:rPr>
          <w:rFonts w:ascii="宋体" w:hAnsi="宋体"/>
          <w:sz w:val="22"/>
          <w:szCs w:val="22"/>
        </w:rPr>
      </w:pPr>
      <w:r>
        <w:rPr>
          <w:rFonts w:ascii="宋体" w:hAnsi="宋体"/>
          <w:sz w:val="22"/>
          <w:szCs w:val="22"/>
        </w:rPr>
        <w:t>7.在认购期内，投资者可多次认购，单一投资者在认购期内累计认购份额的上限应遵守发行规模限制，即本理财计划累积认购份额达到发行规模上限时，停止认购。</w:t>
      </w:r>
    </w:p>
    <w:p w:rsidR="008319DB" w:rsidRDefault="000D0DF8">
      <w:pPr>
        <w:rPr>
          <w:rFonts w:ascii="宋体" w:hAnsi="宋体"/>
          <w:sz w:val="22"/>
          <w:szCs w:val="22"/>
        </w:rPr>
      </w:pPr>
      <w:r>
        <w:rPr>
          <w:rFonts w:ascii="宋体" w:hAnsi="宋体"/>
          <w:sz w:val="22"/>
          <w:szCs w:val="22"/>
        </w:rPr>
        <w:lastRenderedPageBreak/>
        <w:t>8.认购方式及确认：</w:t>
      </w:r>
    </w:p>
    <w:p w:rsidR="008319DB" w:rsidRDefault="000D0DF8">
      <w:pPr>
        <w:rPr>
          <w:rFonts w:ascii="宋体" w:hAnsi="宋体"/>
          <w:sz w:val="22"/>
          <w:szCs w:val="22"/>
        </w:rPr>
      </w:pPr>
      <w:r>
        <w:rPr>
          <w:rFonts w:ascii="宋体" w:hAnsi="宋体"/>
          <w:sz w:val="22"/>
          <w:szCs w:val="22"/>
        </w:rPr>
        <w:t>（1）本理财计划采取金额认购的方式；</w:t>
      </w:r>
    </w:p>
    <w:p w:rsidR="008319DB" w:rsidRDefault="000D0DF8">
      <w:pPr>
        <w:rPr>
          <w:rFonts w:ascii="宋体" w:hAnsi="宋体"/>
          <w:b/>
          <w:sz w:val="22"/>
          <w:szCs w:val="22"/>
        </w:rPr>
      </w:pPr>
      <w:r>
        <w:rPr>
          <w:rFonts w:ascii="宋体" w:hAnsi="宋体"/>
          <w:b/>
          <w:sz w:val="22"/>
          <w:szCs w:val="22"/>
        </w:rPr>
        <w:t>（2）招商银行受理认购申请并不表示对该申请成功的确认，而仅代表招商银行收到了认购申请，申请是否有效应以招商银行的确认为准。招商银行在认购登记日为投资者登记认购份额，投资者应在本理财计划成立后及时查询最终成交确认情况和认购的份额；</w:t>
      </w:r>
    </w:p>
    <w:p w:rsidR="008319DB" w:rsidRDefault="000D0DF8">
      <w:pPr>
        <w:rPr>
          <w:rFonts w:ascii="宋体" w:hAnsi="宋体"/>
          <w:sz w:val="22"/>
          <w:szCs w:val="22"/>
        </w:rPr>
      </w:pPr>
      <w:r>
        <w:rPr>
          <w:rFonts w:ascii="宋体" w:hAnsi="宋体"/>
          <w:sz w:val="22"/>
          <w:szCs w:val="22"/>
        </w:rPr>
        <w:t>（3）认购撤单：在认购登记日前的认购期内允许全部或者部分撤销已递交的认购申请，部分撤销只适用于投资者多次认购的情况，投资者必须对应每笔认购的份额逐笔撤销。投资者部分撤销后剩余的各笔认购份额总和不得低于5万份；</w:t>
      </w:r>
    </w:p>
    <w:p w:rsidR="008319DB" w:rsidRDefault="000D0DF8">
      <w:pPr>
        <w:rPr>
          <w:rFonts w:ascii="宋体" w:hAnsi="宋体"/>
          <w:sz w:val="22"/>
          <w:szCs w:val="22"/>
        </w:rPr>
      </w:pPr>
      <w:r>
        <w:rPr>
          <w:rFonts w:ascii="宋体" w:hAnsi="宋体"/>
          <w:sz w:val="22"/>
          <w:szCs w:val="22"/>
        </w:rPr>
        <w:t>（4）投资者在认购期内</w:t>
      </w:r>
      <w:r>
        <w:rPr>
          <w:rFonts w:ascii="宋体" w:hAnsi="宋体" w:hint="eastAsia"/>
          <w:sz w:val="22"/>
          <w:szCs w:val="22"/>
        </w:rPr>
        <w:t>进行认购申请时，</w:t>
      </w:r>
      <w:r>
        <w:rPr>
          <w:rFonts w:ascii="宋体" w:hAnsi="宋体"/>
          <w:sz w:val="22"/>
          <w:szCs w:val="22"/>
        </w:rPr>
        <w:t>认购款项以人民币资金形式存入招商银行，</w:t>
      </w:r>
      <w:r>
        <w:rPr>
          <w:rFonts w:ascii="宋体" w:hAnsi="宋体" w:hint="eastAsia"/>
          <w:sz w:val="22"/>
          <w:szCs w:val="22"/>
        </w:rPr>
        <w:t>招商银行有权对该部分资金进行相应冻结。</w:t>
      </w:r>
      <w:r>
        <w:rPr>
          <w:rFonts w:ascii="宋体" w:hAnsi="宋体"/>
          <w:sz w:val="22"/>
          <w:szCs w:val="22"/>
        </w:rPr>
        <w:t>该部分资金自认购之日（含）起，至认购登记日（</w:t>
      </w:r>
      <w:r>
        <w:rPr>
          <w:rFonts w:ascii="宋体" w:hAnsi="宋体" w:hint="eastAsia"/>
          <w:sz w:val="22"/>
          <w:szCs w:val="22"/>
        </w:rPr>
        <w:t>不</w:t>
      </w:r>
      <w:r>
        <w:rPr>
          <w:rFonts w:ascii="宋体" w:hAnsi="宋体"/>
          <w:sz w:val="22"/>
          <w:szCs w:val="22"/>
        </w:rPr>
        <w:t>含）止，招商银行按银行人民币活期利率为认购款项计息。</w:t>
      </w:r>
    </w:p>
    <w:p w:rsidR="008319DB" w:rsidRDefault="000D0DF8">
      <w:pPr>
        <w:rPr>
          <w:rFonts w:ascii="宋体" w:hAnsi="宋体"/>
          <w:sz w:val="22"/>
          <w:szCs w:val="22"/>
        </w:rPr>
      </w:pPr>
      <w:r>
        <w:rPr>
          <w:rFonts w:ascii="宋体" w:hAnsi="宋体"/>
          <w:sz w:val="22"/>
          <w:szCs w:val="22"/>
        </w:rPr>
        <w:t>9.发售对象：本理财计划仅向依据中华人民共和国有关法律法规及其他有关规定可以购买本理财计划的合格投资者发售。</w:t>
      </w:r>
    </w:p>
    <w:p w:rsidR="008319DB" w:rsidRDefault="008319DB">
      <w:pPr>
        <w:rPr>
          <w:rFonts w:ascii="宋体" w:hAnsi="宋体" w:cs="Arial"/>
          <w:b/>
          <w:sz w:val="24"/>
        </w:rPr>
      </w:pPr>
    </w:p>
    <w:p w:rsidR="000224C9" w:rsidRDefault="000224C9" w:rsidP="000224C9">
      <w:pPr>
        <w:adjustRightInd w:val="0"/>
        <w:snapToGrid w:val="0"/>
        <w:spacing w:line="300" w:lineRule="auto"/>
        <w:jc w:val="left"/>
        <w:rPr>
          <w:rFonts w:ascii="宋体" w:hAnsi="宋体"/>
          <w:b/>
          <w:sz w:val="22"/>
          <w:szCs w:val="22"/>
        </w:rPr>
      </w:pPr>
      <w:r>
        <w:rPr>
          <w:rFonts w:ascii="宋体" w:hAnsi="宋体" w:hint="eastAsia"/>
          <w:b/>
          <w:sz w:val="22"/>
          <w:szCs w:val="22"/>
        </w:rPr>
        <w:t>理财计划申购</w:t>
      </w:r>
    </w:p>
    <w:p w:rsidR="008319DB" w:rsidRDefault="000224C9">
      <w:pPr>
        <w:adjustRightInd w:val="0"/>
        <w:snapToGrid w:val="0"/>
        <w:spacing w:line="300" w:lineRule="auto"/>
        <w:rPr>
          <w:rFonts w:ascii="宋体" w:hAnsi="宋体"/>
          <w:sz w:val="22"/>
          <w:szCs w:val="22"/>
        </w:rPr>
      </w:pPr>
      <w:r>
        <w:rPr>
          <w:rFonts w:ascii="宋体" w:hAnsi="宋体" w:hint="eastAsia"/>
          <w:sz w:val="22"/>
          <w:szCs w:val="22"/>
        </w:rPr>
        <w:t xml:space="preserve">1. </w:t>
      </w:r>
      <w:r w:rsidRPr="00B9332C">
        <w:rPr>
          <w:rFonts w:ascii="宋体" w:hAnsi="宋体" w:hint="eastAsia"/>
          <w:sz w:val="22"/>
          <w:szCs w:val="22"/>
        </w:rPr>
        <w:t>申购期：</w:t>
      </w:r>
      <w:r>
        <w:rPr>
          <w:rFonts w:ascii="宋体" w:hAnsi="宋体"/>
          <w:sz w:val="22"/>
          <w:szCs w:val="22"/>
        </w:rPr>
        <w:t>本理财计划存续期内</w:t>
      </w:r>
      <w:r>
        <w:rPr>
          <w:rFonts w:ascii="宋体" w:hAnsi="宋体" w:hint="eastAsia"/>
          <w:sz w:val="22"/>
          <w:szCs w:val="22"/>
        </w:rPr>
        <w:t>,</w:t>
      </w:r>
      <w:r w:rsidRPr="000224C9">
        <w:rPr>
          <w:rFonts w:ascii="宋体" w:hAnsi="宋体"/>
          <w:sz w:val="22"/>
          <w:szCs w:val="22"/>
        </w:rPr>
        <w:t xml:space="preserve"> </w:t>
      </w:r>
      <w:r w:rsidRPr="00B9332C">
        <w:rPr>
          <w:rFonts w:ascii="宋体" w:hAnsi="宋体"/>
          <w:sz w:val="22"/>
          <w:szCs w:val="22"/>
        </w:rPr>
        <w:t>投资者可在每个</w:t>
      </w:r>
      <w:r>
        <w:rPr>
          <w:rFonts w:ascii="宋体" w:hAnsi="宋体" w:hint="eastAsia"/>
          <w:sz w:val="22"/>
          <w:szCs w:val="22"/>
        </w:rPr>
        <w:t>自然</w:t>
      </w:r>
      <w:r w:rsidRPr="00B9332C">
        <w:rPr>
          <w:rFonts w:ascii="宋体" w:hAnsi="宋体"/>
          <w:sz w:val="22"/>
          <w:szCs w:val="22"/>
        </w:rPr>
        <w:t>日</w:t>
      </w:r>
      <w:r>
        <w:rPr>
          <w:rFonts w:ascii="宋体" w:hAnsi="宋体" w:hint="eastAsia"/>
          <w:sz w:val="22"/>
          <w:szCs w:val="22"/>
        </w:rPr>
        <w:t>00</w:t>
      </w:r>
      <w:r w:rsidRPr="00B9332C">
        <w:rPr>
          <w:rFonts w:ascii="宋体" w:hAnsi="宋体" w:hint="eastAsia"/>
          <w:sz w:val="22"/>
          <w:szCs w:val="22"/>
        </w:rPr>
        <w:t>：00</w:t>
      </w:r>
      <w:r w:rsidRPr="00B9332C">
        <w:rPr>
          <w:rFonts w:ascii="宋体" w:hAnsi="宋体"/>
          <w:sz w:val="22"/>
          <w:szCs w:val="22"/>
        </w:rPr>
        <w:t>至</w:t>
      </w:r>
      <w:r>
        <w:rPr>
          <w:rFonts w:ascii="宋体" w:hAnsi="宋体" w:hint="eastAsia"/>
          <w:sz w:val="22"/>
          <w:szCs w:val="22"/>
        </w:rPr>
        <w:t>24</w:t>
      </w:r>
      <w:r>
        <w:rPr>
          <w:rFonts w:ascii="宋体" w:hAnsi="宋体"/>
          <w:sz w:val="22"/>
          <w:szCs w:val="22"/>
        </w:rPr>
        <w:t>:</w:t>
      </w:r>
      <w:r>
        <w:rPr>
          <w:rFonts w:ascii="宋体" w:hAnsi="宋体" w:hint="eastAsia"/>
          <w:sz w:val="22"/>
          <w:szCs w:val="22"/>
        </w:rPr>
        <w:t>00办理申购</w:t>
      </w:r>
    </w:p>
    <w:p w:rsidR="007F3DB8" w:rsidRDefault="000D0DF8" w:rsidP="007F3DB8">
      <w:pPr>
        <w:pStyle w:val="af4"/>
        <w:adjustRightInd w:val="0"/>
        <w:snapToGrid w:val="0"/>
        <w:spacing w:line="300" w:lineRule="auto"/>
        <w:ind w:firstLineChars="0" w:firstLine="0"/>
        <w:rPr>
          <w:rFonts w:ascii="宋体" w:hAnsi="宋体"/>
          <w:sz w:val="22"/>
          <w:szCs w:val="22"/>
        </w:rPr>
      </w:pPr>
      <w:r>
        <w:rPr>
          <w:rFonts w:ascii="宋体" w:hAnsi="宋体" w:hint="eastAsia"/>
          <w:sz w:val="22"/>
          <w:szCs w:val="22"/>
        </w:rPr>
        <w:t>2.</w:t>
      </w:r>
      <w:r w:rsidR="000224C9" w:rsidRPr="000224C9">
        <w:rPr>
          <w:rFonts w:ascii="宋体" w:hAnsi="宋体" w:hint="eastAsia"/>
          <w:sz w:val="22"/>
          <w:szCs w:val="22"/>
        </w:rPr>
        <w:t xml:space="preserve"> </w:t>
      </w:r>
      <w:r w:rsidR="000224C9" w:rsidRPr="00EE5F3C">
        <w:rPr>
          <w:rFonts w:ascii="宋体" w:hAnsi="宋体" w:hint="eastAsia"/>
          <w:sz w:val="22"/>
          <w:szCs w:val="22"/>
        </w:rPr>
        <w:t>申购规模：本</w:t>
      </w:r>
      <w:r w:rsidR="000224C9" w:rsidRPr="00EE5F3C">
        <w:rPr>
          <w:rFonts w:ascii="宋体" w:hAnsi="宋体"/>
          <w:sz w:val="22"/>
          <w:szCs w:val="22"/>
        </w:rPr>
        <w:t>理财计划存续期内，若本理财计划余额达到</w:t>
      </w:r>
      <w:r w:rsidR="000224C9" w:rsidRPr="00EE5F3C">
        <w:rPr>
          <w:rFonts w:ascii="宋体" w:hAnsi="宋体" w:hint="eastAsia"/>
          <w:sz w:val="22"/>
          <w:szCs w:val="22"/>
        </w:rPr>
        <w:t>管理</w:t>
      </w:r>
      <w:r w:rsidR="000224C9" w:rsidRPr="00EE5F3C">
        <w:rPr>
          <w:rFonts w:ascii="宋体" w:hAnsi="宋体"/>
          <w:sz w:val="22"/>
          <w:szCs w:val="22"/>
        </w:rPr>
        <w:t>规模上限</w:t>
      </w:r>
      <w:r w:rsidR="000224C9" w:rsidRPr="00EE5F3C">
        <w:rPr>
          <w:rFonts w:ascii="宋体" w:hAnsi="宋体" w:hint="eastAsia"/>
          <w:sz w:val="22"/>
          <w:szCs w:val="22"/>
        </w:rPr>
        <w:t>时</w:t>
      </w:r>
      <w:r w:rsidR="000224C9" w:rsidRPr="00EE5F3C">
        <w:rPr>
          <w:rFonts w:ascii="宋体" w:hAnsi="宋体"/>
          <w:sz w:val="22"/>
          <w:szCs w:val="22"/>
        </w:rPr>
        <w:t>，招商银行有权拒绝超过本理财计划</w:t>
      </w:r>
      <w:r w:rsidR="000224C9" w:rsidRPr="00EE5F3C">
        <w:rPr>
          <w:rFonts w:ascii="宋体" w:hAnsi="宋体" w:hint="eastAsia"/>
          <w:sz w:val="22"/>
          <w:szCs w:val="22"/>
        </w:rPr>
        <w:t>管理</w:t>
      </w:r>
      <w:r w:rsidR="000224C9" w:rsidRPr="00EE5F3C">
        <w:rPr>
          <w:rFonts w:ascii="宋体" w:hAnsi="宋体"/>
          <w:sz w:val="22"/>
          <w:szCs w:val="22"/>
        </w:rPr>
        <w:t>规模上限部分的申购申请。</w:t>
      </w:r>
    </w:p>
    <w:p w:rsidR="007F3DB8" w:rsidRPr="007F3DB8" w:rsidRDefault="000D0DF8" w:rsidP="007F3DB8">
      <w:pPr>
        <w:pStyle w:val="af4"/>
        <w:adjustRightInd w:val="0"/>
        <w:snapToGrid w:val="0"/>
        <w:spacing w:line="300" w:lineRule="auto"/>
        <w:ind w:firstLineChars="0" w:firstLine="0"/>
        <w:rPr>
          <w:rFonts w:ascii="宋体" w:hAnsi="宋体"/>
          <w:b/>
          <w:sz w:val="22"/>
          <w:szCs w:val="22"/>
        </w:rPr>
      </w:pPr>
      <w:r>
        <w:rPr>
          <w:rFonts w:ascii="宋体" w:hAnsi="宋体" w:hint="eastAsia"/>
          <w:sz w:val="22"/>
          <w:szCs w:val="22"/>
        </w:rPr>
        <w:t>3</w:t>
      </w:r>
      <w:r>
        <w:rPr>
          <w:rFonts w:ascii="宋体" w:hAnsi="宋体"/>
          <w:sz w:val="22"/>
          <w:szCs w:val="22"/>
        </w:rPr>
        <w:t>.</w:t>
      </w:r>
      <w:r w:rsidR="00CC75A4" w:rsidRPr="00CC75A4">
        <w:rPr>
          <w:rFonts w:ascii="宋体" w:hAnsi="宋体" w:hint="eastAsia"/>
          <w:sz w:val="22"/>
          <w:szCs w:val="22"/>
        </w:rPr>
        <w:t xml:space="preserve"> </w:t>
      </w:r>
      <w:r w:rsidR="00CC75A4" w:rsidRPr="00EE5F3C">
        <w:rPr>
          <w:rFonts w:ascii="宋体" w:hAnsi="宋体" w:hint="eastAsia"/>
          <w:sz w:val="22"/>
          <w:szCs w:val="22"/>
        </w:rPr>
        <w:t>申购价格：本理财计划的申购价格为1元</w:t>
      </w:r>
      <w:r w:rsidR="00CC75A4" w:rsidRPr="00EE5F3C">
        <w:rPr>
          <w:rFonts w:ascii="宋体" w:hAnsi="宋体"/>
          <w:sz w:val="22"/>
          <w:szCs w:val="22"/>
        </w:rPr>
        <w:t>人民</w:t>
      </w:r>
      <w:r w:rsidR="00CC75A4" w:rsidRPr="00EE5F3C">
        <w:rPr>
          <w:rFonts w:ascii="宋体" w:hAnsi="宋体" w:hint="eastAsia"/>
          <w:sz w:val="22"/>
          <w:szCs w:val="22"/>
        </w:rPr>
        <w:t>币1</w:t>
      </w:r>
      <w:r w:rsidR="00CC75A4" w:rsidRPr="00EE5F3C">
        <w:rPr>
          <w:rFonts w:ascii="宋体" w:hAnsi="宋体"/>
          <w:sz w:val="22"/>
          <w:szCs w:val="22"/>
        </w:rPr>
        <w:t>份</w:t>
      </w:r>
      <w:r w:rsidR="00CC75A4">
        <w:rPr>
          <w:rFonts w:ascii="宋体" w:hAnsi="宋体" w:hint="eastAsia"/>
          <w:sz w:val="22"/>
          <w:szCs w:val="22"/>
        </w:rPr>
        <w:t>。</w:t>
      </w:r>
    </w:p>
    <w:p w:rsidR="00CC75A4" w:rsidRDefault="00CC75A4" w:rsidP="00CC75A4">
      <w:pPr>
        <w:adjustRightInd w:val="0"/>
        <w:snapToGrid w:val="0"/>
        <w:spacing w:line="300" w:lineRule="auto"/>
        <w:jc w:val="left"/>
        <w:rPr>
          <w:rFonts w:ascii="宋体" w:hAnsi="宋体"/>
          <w:sz w:val="22"/>
          <w:szCs w:val="22"/>
        </w:rPr>
      </w:pPr>
      <w:r>
        <w:rPr>
          <w:rFonts w:ascii="宋体" w:hAnsi="宋体" w:hint="eastAsia"/>
          <w:sz w:val="22"/>
          <w:szCs w:val="22"/>
        </w:rPr>
        <w:t xml:space="preserve">4. </w:t>
      </w:r>
      <w:r w:rsidRPr="00EE5F3C">
        <w:rPr>
          <w:rFonts w:ascii="宋体" w:hAnsi="宋体" w:hint="eastAsia"/>
          <w:sz w:val="22"/>
          <w:szCs w:val="22"/>
        </w:rPr>
        <w:t>申购</w:t>
      </w:r>
      <w:r w:rsidRPr="00EE5F3C">
        <w:rPr>
          <w:rFonts w:ascii="宋体" w:hAnsi="宋体"/>
          <w:sz w:val="22"/>
          <w:szCs w:val="22"/>
        </w:rPr>
        <w:t>金额：</w:t>
      </w:r>
      <w:r>
        <w:rPr>
          <w:rFonts w:ascii="宋体" w:hAnsi="宋体" w:hint="eastAsia"/>
          <w:sz w:val="22"/>
          <w:szCs w:val="22"/>
        </w:rPr>
        <w:t>申</w:t>
      </w:r>
      <w:r>
        <w:rPr>
          <w:rFonts w:ascii="宋体" w:hAnsi="宋体"/>
          <w:sz w:val="22"/>
          <w:szCs w:val="22"/>
        </w:rPr>
        <w:t>购起点为5万份，超过</w:t>
      </w:r>
      <w:r>
        <w:rPr>
          <w:rFonts w:ascii="宋体" w:hAnsi="宋体" w:hint="eastAsia"/>
          <w:sz w:val="22"/>
          <w:szCs w:val="22"/>
        </w:rPr>
        <w:t>申</w:t>
      </w:r>
      <w:r>
        <w:rPr>
          <w:rFonts w:ascii="宋体" w:hAnsi="宋体"/>
          <w:sz w:val="22"/>
          <w:szCs w:val="22"/>
        </w:rPr>
        <w:t>购起点部分应为1</w:t>
      </w:r>
      <w:r w:rsidR="00F6123B">
        <w:rPr>
          <w:rFonts w:ascii="宋体" w:hAnsi="宋体" w:hint="eastAsia"/>
          <w:sz w:val="22"/>
          <w:szCs w:val="22"/>
        </w:rPr>
        <w:t>份</w:t>
      </w:r>
      <w:r>
        <w:rPr>
          <w:rFonts w:ascii="宋体" w:hAnsi="宋体"/>
          <w:sz w:val="22"/>
          <w:szCs w:val="22"/>
        </w:rPr>
        <w:t>的整数倍。</w:t>
      </w:r>
    </w:p>
    <w:p w:rsidR="00CC75A4" w:rsidRDefault="00CC75A4" w:rsidP="00CC75A4">
      <w:pPr>
        <w:adjustRightInd w:val="0"/>
        <w:snapToGrid w:val="0"/>
        <w:spacing w:line="300" w:lineRule="auto"/>
        <w:jc w:val="left"/>
        <w:rPr>
          <w:rFonts w:ascii="宋体" w:hAnsi="宋体"/>
          <w:sz w:val="22"/>
          <w:szCs w:val="22"/>
        </w:rPr>
      </w:pPr>
      <w:r>
        <w:rPr>
          <w:rFonts w:ascii="宋体" w:hAnsi="宋体" w:hint="eastAsia"/>
          <w:sz w:val="22"/>
          <w:szCs w:val="22"/>
        </w:rPr>
        <w:t xml:space="preserve">5. </w:t>
      </w:r>
      <w:r w:rsidRPr="00EE5F3C">
        <w:rPr>
          <w:rFonts w:ascii="宋体" w:hAnsi="宋体" w:hint="eastAsia"/>
          <w:sz w:val="22"/>
          <w:szCs w:val="22"/>
        </w:rPr>
        <w:t>申购</w:t>
      </w:r>
      <w:r w:rsidRPr="00EE5F3C">
        <w:rPr>
          <w:rFonts w:ascii="宋体" w:hAnsi="宋体"/>
          <w:sz w:val="22"/>
          <w:szCs w:val="22"/>
        </w:rPr>
        <w:t>方式及</w:t>
      </w:r>
      <w:r>
        <w:rPr>
          <w:rFonts w:ascii="宋体" w:hAnsi="宋体" w:hint="eastAsia"/>
          <w:sz w:val="22"/>
          <w:szCs w:val="22"/>
        </w:rPr>
        <w:t>申购</w:t>
      </w:r>
      <w:r w:rsidRPr="00EE5F3C">
        <w:rPr>
          <w:rFonts w:ascii="宋体" w:hAnsi="宋体"/>
          <w:sz w:val="22"/>
          <w:szCs w:val="22"/>
        </w:rPr>
        <w:t>确认</w:t>
      </w:r>
      <w:r>
        <w:rPr>
          <w:rFonts w:ascii="宋体" w:hAnsi="宋体" w:hint="eastAsia"/>
          <w:sz w:val="22"/>
          <w:szCs w:val="22"/>
        </w:rPr>
        <w:t>日</w:t>
      </w:r>
    </w:p>
    <w:p w:rsidR="00CC75A4" w:rsidRDefault="00CC75A4" w:rsidP="00CC75A4">
      <w:pPr>
        <w:adjustRightInd w:val="0"/>
        <w:snapToGrid w:val="0"/>
        <w:spacing w:line="300" w:lineRule="auto"/>
        <w:jc w:val="left"/>
        <w:rPr>
          <w:rFonts w:ascii="宋体" w:hAnsi="宋体"/>
          <w:sz w:val="22"/>
          <w:szCs w:val="22"/>
        </w:rPr>
      </w:pPr>
      <w:r>
        <w:rPr>
          <w:rFonts w:ascii="宋体" w:hAnsi="宋体" w:hint="eastAsia"/>
          <w:sz w:val="22"/>
          <w:szCs w:val="22"/>
        </w:rPr>
        <w:t>（1）</w:t>
      </w:r>
      <w:r w:rsidRPr="00EE5F3C">
        <w:rPr>
          <w:rFonts w:ascii="宋体" w:hAnsi="宋体" w:hint="eastAsia"/>
          <w:sz w:val="22"/>
          <w:szCs w:val="22"/>
        </w:rPr>
        <w:t>理财计划申购份额＝申购金额÷申购日理财计划申购价格。</w:t>
      </w:r>
    </w:p>
    <w:p w:rsidR="00CC75A4" w:rsidRDefault="00CC75A4" w:rsidP="00CC75A4">
      <w:pPr>
        <w:adjustRightInd w:val="0"/>
        <w:snapToGrid w:val="0"/>
        <w:spacing w:line="300" w:lineRule="auto"/>
        <w:jc w:val="left"/>
        <w:rPr>
          <w:rFonts w:ascii="宋体" w:hAnsi="宋体"/>
          <w:sz w:val="22"/>
          <w:szCs w:val="22"/>
        </w:rPr>
      </w:pPr>
      <w:r>
        <w:rPr>
          <w:rFonts w:ascii="宋体" w:hAnsi="宋体" w:hint="eastAsia"/>
          <w:sz w:val="22"/>
          <w:szCs w:val="22"/>
        </w:rPr>
        <w:t>（2）对于投资者在不同时间提出的申购申请，招商银行将按照如下方式确认</w:t>
      </w:r>
      <w:r w:rsidRPr="00EE5F3C">
        <w:rPr>
          <w:rFonts w:ascii="宋体" w:hAnsi="宋体"/>
          <w:sz w:val="22"/>
          <w:szCs w:val="22"/>
        </w:rPr>
        <w:t>申购申请的有效性</w:t>
      </w:r>
      <w:r>
        <w:rPr>
          <w:rFonts w:ascii="宋体" w:hAnsi="宋体" w:hint="eastAsia"/>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5249"/>
        <w:gridCol w:w="1643"/>
      </w:tblGrid>
      <w:tr w:rsidR="00CC75A4" w:rsidRPr="00D82891" w:rsidTr="00D869C1">
        <w:tc>
          <w:tcPr>
            <w:tcW w:w="1716"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申购申请时间</w:t>
            </w:r>
          </w:p>
        </w:tc>
        <w:tc>
          <w:tcPr>
            <w:tcW w:w="5338"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申购确认方式</w:t>
            </w:r>
          </w:p>
        </w:tc>
        <w:tc>
          <w:tcPr>
            <w:tcW w:w="1666"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申购确认日</w:t>
            </w:r>
          </w:p>
        </w:tc>
      </w:tr>
      <w:tr w:rsidR="00CC75A4" w:rsidRPr="00D82891" w:rsidTr="00D869C1">
        <w:tc>
          <w:tcPr>
            <w:tcW w:w="171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每个交易日</w:t>
            </w:r>
          </w:p>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00:00-16:30</w:t>
            </w:r>
          </w:p>
        </w:tc>
        <w:tc>
          <w:tcPr>
            <w:tcW w:w="533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招商银行将在当日对投资者的申购申请的有效性进行确认，登记份额并成功扣减投资者账户资金，扣划款项成功后投资者申购成功。</w:t>
            </w:r>
          </w:p>
        </w:tc>
        <w:tc>
          <w:tcPr>
            <w:tcW w:w="166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当日</w:t>
            </w:r>
          </w:p>
        </w:tc>
      </w:tr>
      <w:tr w:rsidR="00CC75A4" w:rsidRPr="00D82891" w:rsidTr="00D869C1">
        <w:tc>
          <w:tcPr>
            <w:tcW w:w="171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每个交易日</w:t>
            </w:r>
          </w:p>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16:30-24:00</w:t>
            </w:r>
          </w:p>
        </w:tc>
        <w:tc>
          <w:tcPr>
            <w:tcW w:w="533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招商银行将在下一个交易日对投资者的申购申请的有效性进行确认，登记份额并成功扣减投资者账户资金，扣划款项成功后投资者申购成功。</w:t>
            </w:r>
          </w:p>
        </w:tc>
        <w:tc>
          <w:tcPr>
            <w:tcW w:w="166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下一个交易日</w:t>
            </w:r>
          </w:p>
        </w:tc>
      </w:tr>
      <w:tr w:rsidR="00CC75A4" w:rsidRPr="00D82891" w:rsidTr="00D869C1">
        <w:tc>
          <w:tcPr>
            <w:tcW w:w="171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非交易日</w:t>
            </w:r>
          </w:p>
        </w:tc>
        <w:tc>
          <w:tcPr>
            <w:tcW w:w="533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招商银行将在下一个交易日对投资者的申购申请的有效性进行确认，登记份额并成功扣减投资者账户资金，扣划款项成功后投资者申购成功。</w:t>
            </w:r>
          </w:p>
        </w:tc>
        <w:tc>
          <w:tcPr>
            <w:tcW w:w="1666"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下一个交易日</w:t>
            </w:r>
          </w:p>
        </w:tc>
      </w:tr>
    </w:tbl>
    <w:p w:rsidR="00CC75A4" w:rsidRDefault="00CC75A4" w:rsidP="00CC75A4">
      <w:pPr>
        <w:adjustRightInd w:val="0"/>
        <w:snapToGrid w:val="0"/>
        <w:spacing w:line="300" w:lineRule="auto"/>
        <w:jc w:val="left"/>
        <w:rPr>
          <w:rFonts w:ascii="宋体" w:hAnsi="宋体"/>
          <w:sz w:val="22"/>
          <w:szCs w:val="22"/>
        </w:rPr>
      </w:pPr>
    </w:p>
    <w:p w:rsidR="00CC75A4" w:rsidRPr="0090037C" w:rsidRDefault="00CC75A4" w:rsidP="00CC75A4">
      <w:pPr>
        <w:adjustRightInd w:val="0"/>
        <w:snapToGrid w:val="0"/>
        <w:spacing w:line="300" w:lineRule="auto"/>
        <w:jc w:val="left"/>
        <w:rPr>
          <w:rFonts w:ascii="宋体" w:hAnsi="宋体"/>
          <w:b/>
          <w:sz w:val="22"/>
          <w:szCs w:val="22"/>
        </w:rPr>
      </w:pPr>
      <w:r w:rsidRPr="0090037C">
        <w:rPr>
          <w:rFonts w:ascii="宋体" w:hAnsi="宋体" w:hint="eastAsia"/>
          <w:b/>
          <w:sz w:val="22"/>
          <w:szCs w:val="22"/>
        </w:rPr>
        <w:t>理财计划赎回</w:t>
      </w:r>
    </w:p>
    <w:p w:rsidR="00CC75A4" w:rsidRPr="00CC75A4" w:rsidRDefault="00CC75A4" w:rsidP="00CC75A4">
      <w:pPr>
        <w:tabs>
          <w:tab w:val="left" w:pos="720"/>
        </w:tabs>
        <w:rPr>
          <w:rFonts w:ascii="宋体" w:hAnsi="宋体"/>
          <w:sz w:val="22"/>
          <w:szCs w:val="22"/>
        </w:rPr>
      </w:pPr>
      <w:r>
        <w:rPr>
          <w:rFonts w:ascii="宋体" w:hAnsi="宋体" w:hint="eastAsia"/>
          <w:sz w:val="22"/>
          <w:szCs w:val="22"/>
        </w:rPr>
        <w:t xml:space="preserve">1. </w:t>
      </w:r>
      <w:r w:rsidRPr="0090037C">
        <w:rPr>
          <w:rFonts w:ascii="宋体" w:hAnsi="宋体" w:hint="eastAsia"/>
          <w:sz w:val="22"/>
          <w:szCs w:val="22"/>
        </w:rPr>
        <w:t>赎回期：</w:t>
      </w:r>
      <w:r w:rsidRPr="0090037C">
        <w:rPr>
          <w:rFonts w:ascii="宋体" w:hAnsi="宋体"/>
          <w:sz w:val="22"/>
          <w:szCs w:val="22"/>
        </w:rPr>
        <w:t>本理财计划存续期内，</w:t>
      </w:r>
      <w:r w:rsidRPr="00B9332C">
        <w:rPr>
          <w:rFonts w:ascii="宋体" w:hAnsi="宋体"/>
          <w:sz w:val="22"/>
          <w:szCs w:val="22"/>
        </w:rPr>
        <w:t>投资者可在每个</w:t>
      </w:r>
      <w:r>
        <w:rPr>
          <w:rFonts w:ascii="宋体" w:hAnsi="宋体" w:hint="eastAsia"/>
          <w:sz w:val="22"/>
          <w:szCs w:val="22"/>
        </w:rPr>
        <w:t>自然</w:t>
      </w:r>
      <w:r w:rsidRPr="00B9332C">
        <w:rPr>
          <w:rFonts w:ascii="宋体" w:hAnsi="宋体"/>
          <w:sz w:val="22"/>
          <w:szCs w:val="22"/>
        </w:rPr>
        <w:t>日</w:t>
      </w:r>
      <w:r>
        <w:rPr>
          <w:rFonts w:ascii="宋体" w:hAnsi="宋体" w:hint="eastAsia"/>
          <w:sz w:val="22"/>
          <w:szCs w:val="22"/>
        </w:rPr>
        <w:t>00</w:t>
      </w:r>
      <w:r w:rsidRPr="00B9332C">
        <w:rPr>
          <w:rFonts w:ascii="宋体" w:hAnsi="宋体" w:hint="eastAsia"/>
          <w:sz w:val="22"/>
          <w:szCs w:val="22"/>
        </w:rPr>
        <w:t>：00</w:t>
      </w:r>
      <w:r w:rsidRPr="00B9332C">
        <w:rPr>
          <w:rFonts w:ascii="宋体" w:hAnsi="宋体"/>
          <w:sz w:val="22"/>
          <w:szCs w:val="22"/>
        </w:rPr>
        <w:t>至</w:t>
      </w:r>
      <w:r>
        <w:rPr>
          <w:rFonts w:ascii="宋体" w:hAnsi="宋体" w:hint="eastAsia"/>
          <w:sz w:val="22"/>
          <w:szCs w:val="22"/>
        </w:rPr>
        <w:t>24</w:t>
      </w:r>
      <w:r>
        <w:rPr>
          <w:rFonts w:ascii="宋体" w:hAnsi="宋体"/>
          <w:sz w:val="22"/>
          <w:szCs w:val="22"/>
        </w:rPr>
        <w:t>:</w:t>
      </w:r>
      <w:r>
        <w:rPr>
          <w:rFonts w:ascii="宋体" w:hAnsi="宋体" w:hint="eastAsia"/>
          <w:sz w:val="22"/>
          <w:szCs w:val="22"/>
        </w:rPr>
        <w:t>00办理赎回</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 xml:space="preserve">2. </w:t>
      </w:r>
      <w:r w:rsidRPr="002D187B">
        <w:rPr>
          <w:rFonts w:ascii="宋体" w:hAnsi="宋体" w:hint="eastAsia"/>
          <w:sz w:val="22"/>
          <w:szCs w:val="22"/>
        </w:rPr>
        <w:t>赎回金额要求：</w:t>
      </w:r>
      <w:r>
        <w:rPr>
          <w:rFonts w:ascii="宋体" w:hAnsi="宋体"/>
          <w:sz w:val="22"/>
          <w:szCs w:val="22"/>
        </w:rPr>
        <w:t>部分赎回后投资者持有本理财计划的实时余额不得低于</w:t>
      </w:r>
      <w:r>
        <w:rPr>
          <w:rFonts w:ascii="宋体" w:hAnsi="宋体" w:hint="eastAsia"/>
          <w:sz w:val="22"/>
          <w:szCs w:val="22"/>
        </w:rPr>
        <w:t>1千</w:t>
      </w:r>
      <w:r>
        <w:rPr>
          <w:rFonts w:ascii="宋体" w:hAnsi="宋体"/>
          <w:sz w:val="22"/>
          <w:szCs w:val="22"/>
        </w:rPr>
        <w:t>份，实时余额低于</w:t>
      </w:r>
      <w:r>
        <w:rPr>
          <w:rFonts w:ascii="宋体" w:hAnsi="宋体" w:hint="eastAsia"/>
          <w:sz w:val="22"/>
          <w:szCs w:val="22"/>
        </w:rPr>
        <w:t>1千</w:t>
      </w:r>
      <w:r>
        <w:rPr>
          <w:rFonts w:ascii="宋体" w:hAnsi="宋体"/>
          <w:sz w:val="22"/>
          <w:szCs w:val="22"/>
        </w:rPr>
        <w:t>份的赎回申请，系统将自动予以全部赎回。</w:t>
      </w:r>
    </w:p>
    <w:p w:rsidR="00CC75A4" w:rsidRDefault="00CC75A4" w:rsidP="00CC75A4">
      <w:pPr>
        <w:adjustRightInd w:val="0"/>
        <w:snapToGrid w:val="0"/>
        <w:spacing w:line="300" w:lineRule="auto"/>
        <w:jc w:val="left"/>
        <w:rPr>
          <w:rFonts w:ascii="宋体" w:hAnsi="宋体"/>
          <w:sz w:val="22"/>
          <w:szCs w:val="22"/>
        </w:rPr>
      </w:pPr>
      <w:r>
        <w:rPr>
          <w:rFonts w:ascii="宋体" w:hAnsi="宋体" w:hint="eastAsia"/>
          <w:sz w:val="22"/>
          <w:szCs w:val="22"/>
        </w:rPr>
        <w:t>3. 赎回方式及赎回确认日</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（1）全额赎回</w:t>
      </w:r>
    </w:p>
    <w:p w:rsidR="00CC75A4" w:rsidRDefault="00CC75A4" w:rsidP="00CC75A4">
      <w:pPr>
        <w:adjustRightInd w:val="0"/>
        <w:snapToGrid w:val="0"/>
        <w:spacing w:line="300" w:lineRule="auto"/>
        <w:ind w:firstLineChars="200" w:firstLine="440"/>
        <w:rPr>
          <w:rFonts w:ascii="宋体" w:hAnsi="宋体"/>
          <w:sz w:val="22"/>
          <w:szCs w:val="22"/>
        </w:rPr>
      </w:pPr>
      <w:r>
        <w:rPr>
          <w:rFonts w:ascii="宋体" w:hAnsi="宋体" w:hint="eastAsia"/>
          <w:sz w:val="22"/>
          <w:szCs w:val="22"/>
        </w:rPr>
        <w:lastRenderedPageBreak/>
        <w:t>投资者全额赎回本理财计划时，对于不同时间提出的赎回申请，招商银行将按照如下方式确认赎回</w:t>
      </w:r>
      <w:r w:rsidRPr="00EE5F3C">
        <w:rPr>
          <w:rFonts w:ascii="宋体" w:hAnsi="宋体"/>
          <w:sz w:val="22"/>
          <w:szCs w:val="22"/>
        </w:rPr>
        <w:t>申请的有效性</w:t>
      </w:r>
      <w:r>
        <w:rPr>
          <w:rFonts w:ascii="宋体" w:hAnsi="宋体" w:hint="eastAsia"/>
          <w:sz w:val="22"/>
          <w:szCs w:val="22"/>
        </w:rPr>
        <w:t>，</w:t>
      </w:r>
      <w:r w:rsidRPr="00EE5F3C">
        <w:rPr>
          <w:rFonts w:ascii="宋体" w:hAnsi="宋体" w:hint="eastAsia"/>
          <w:sz w:val="22"/>
          <w:szCs w:val="22"/>
        </w:rPr>
        <w:t>为投资者扣减份额</w:t>
      </w:r>
      <w:r>
        <w:rPr>
          <w:rFonts w:ascii="宋体" w:hAnsi="宋体" w:hint="eastAsia"/>
          <w:sz w:val="22"/>
          <w:szCs w:val="22"/>
        </w:rPr>
        <w:t>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5244"/>
        <w:gridCol w:w="1648"/>
      </w:tblGrid>
      <w:tr w:rsidR="00CC75A4" w:rsidRPr="00D82891" w:rsidTr="00CC75A4">
        <w:tc>
          <w:tcPr>
            <w:tcW w:w="1710"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赎回申请时间</w:t>
            </w:r>
          </w:p>
        </w:tc>
        <w:tc>
          <w:tcPr>
            <w:tcW w:w="5244"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赎回确认方式</w:t>
            </w:r>
          </w:p>
        </w:tc>
        <w:tc>
          <w:tcPr>
            <w:tcW w:w="1648" w:type="dxa"/>
            <w:vAlign w:val="center"/>
          </w:tcPr>
          <w:p w:rsidR="00CC75A4" w:rsidRPr="00D82891" w:rsidRDefault="00CC75A4" w:rsidP="00D869C1">
            <w:pPr>
              <w:adjustRightInd w:val="0"/>
              <w:snapToGrid w:val="0"/>
              <w:spacing w:line="300" w:lineRule="auto"/>
              <w:rPr>
                <w:rFonts w:ascii="宋体" w:hAnsi="宋体"/>
                <w:b/>
                <w:sz w:val="22"/>
                <w:szCs w:val="22"/>
              </w:rPr>
            </w:pPr>
            <w:r w:rsidRPr="00D82891">
              <w:rPr>
                <w:rFonts w:ascii="宋体" w:hAnsi="宋体" w:hint="eastAsia"/>
                <w:b/>
                <w:sz w:val="22"/>
                <w:szCs w:val="22"/>
              </w:rPr>
              <w:t>赎回确认日</w:t>
            </w:r>
          </w:p>
        </w:tc>
      </w:tr>
      <w:tr w:rsidR="00CC75A4" w:rsidRPr="00D82891" w:rsidTr="00CC75A4">
        <w:tc>
          <w:tcPr>
            <w:tcW w:w="1710"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每个交易日</w:t>
            </w:r>
          </w:p>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00:00-16:30</w:t>
            </w:r>
          </w:p>
        </w:tc>
        <w:tc>
          <w:tcPr>
            <w:tcW w:w="5244"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投资者赎回申请成功后，投资者当日持有的理财计划余额对应的本金将实时划转至投资者指定账户，对应的理财收益将在9:30后划转至投资者指定账户。</w:t>
            </w:r>
          </w:p>
        </w:tc>
        <w:tc>
          <w:tcPr>
            <w:tcW w:w="164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当日</w:t>
            </w:r>
          </w:p>
        </w:tc>
      </w:tr>
      <w:tr w:rsidR="00CC75A4" w:rsidRPr="00D82891" w:rsidTr="00CC75A4">
        <w:tc>
          <w:tcPr>
            <w:tcW w:w="1710"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每个交易日</w:t>
            </w:r>
          </w:p>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16:30-24:00</w:t>
            </w:r>
          </w:p>
        </w:tc>
        <w:tc>
          <w:tcPr>
            <w:tcW w:w="5244"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投资者赎回申请成功后，投资者当日持有的理财计划余额对应的本金及理财收益将在下一个交易日9:30后划转至投资者指定账户。</w:t>
            </w:r>
          </w:p>
        </w:tc>
        <w:tc>
          <w:tcPr>
            <w:tcW w:w="164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下一个交易日</w:t>
            </w:r>
          </w:p>
        </w:tc>
      </w:tr>
      <w:tr w:rsidR="00CC75A4" w:rsidRPr="00D82891" w:rsidTr="00CC75A4">
        <w:tc>
          <w:tcPr>
            <w:tcW w:w="1710"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非交易日</w:t>
            </w:r>
          </w:p>
        </w:tc>
        <w:tc>
          <w:tcPr>
            <w:tcW w:w="5244"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投资者赎回申请成功后，投资者当日持有的理财计划余额对应的本金及理财收益将在下一个交易日9:30后划转至投资者指定账户。。</w:t>
            </w:r>
          </w:p>
        </w:tc>
        <w:tc>
          <w:tcPr>
            <w:tcW w:w="1648" w:type="dxa"/>
            <w:vAlign w:val="center"/>
          </w:tcPr>
          <w:p w:rsidR="00CC75A4" w:rsidRPr="00D82891" w:rsidRDefault="00CC75A4" w:rsidP="00D869C1">
            <w:pPr>
              <w:adjustRightInd w:val="0"/>
              <w:snapToGrid w:val="0"/>
              <w:spacing w:line="300" w:lineRule="auto"/>
              <w:rPr>
                <w:rFonts w:ascii="宋体" w:hAnsi="宋体"/>
                <w:sz w:val="22"/>
                <w:szCs w:val="22"/>
              </w:rPr>
            </w:pPr>
            <w:r w:rsidRPr="00D82891">
              <w:rPr>
                <w:rFonts w:ascii="宋体" w:hAnsi="宋体" w:hint="eastAsia"/>
                <w:sz w:val="22"/>
                <w:szCs w:val="22"/>
              </w:rPr>
              <w:t>下一个交易日</w:t>
            </w:r>
          </w:p>
        </w:tc>
      </w:tr>
    </w:tbl>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（2）部分赎回</w:t>
      </w:r>
    </w:p>
    <w:p w:rsidR="00CC75A4" w:rsidRDefault="00CC75A4" w:rsidP="00CC75A4">
      <w:pPr>
        <w:adjustRightInd w:val="0"/>
        <w:snapToGrid w:val="0"/>
        <w:spacing w:line="300" w:lineRule="auto"/>
        <w:ind w:firstLineChars="200" w:firstLine="440"/>
        <w:rPr>
          <w:rFonts w:ascii="宋体" w:hAnsi="宋体"/>
          <w:sz w:val="22"/>
          <w:szCs w:val="22"/>
        </w:rPr>
      </w:pPr>
      <w:r>
        <w:rPr>
          <w:rFonts w:ascii="宋体" w:hAnsi="宋体" w:hint="eastAsia"/>
          <w:sz w:val="22"/>
          <w:szCs w:val="22"/>
        </w:rPr>
        <w:t>投资者</w:t>
      </w:r>
      <w:r w:rsidRPr="00EE5F3C">
        <w:rPr>
          <w:rFonts w:ascii="宋体" w:hAnsi="宋体" w:hint="eastAsia"/>
          <w:sz w:val="22"/>
          <w:szCs w:val="22"/>
        </w:rPr>
        <w:t>部分赎回</w:t>
      </w:r>
      <w:r>
        <w:rPr>
          <w:rFonts w:ascii="宋体" w:hAnsi="宋体" w:hint="eastAsia"/>
          <w:sz w:val="22"/>
          <w:szCs w:val="22"/>
        </w:rPr>
        <w:t>本理财计划时</w:t>
      </w:r>
      <w:r w:rsidRPr="00EE5F3C">
        <w:rPr>
          <w:rFonts w:ascii="宋体" w:hAnsi="宋体" w:hint="eastAsia"/>
          <w:sz w:val="22"/>
          <w:szCs w:val="22"/>
        </w:rPr>
        <w:t>，</w:t>
      </w:r>
      <w:r>
        <w:rPr>
          <w:rFonts w:ascii="宋体" w:hAnsi="宋体" w:hint="eastAsia"/>
          <w:sz w:val="22"/>
          <w:szCs w:val="22"/>
        </w:rPr>
        <w:t>对于</w:t>
      </w:r>
      <w:r w:rsidRPr="00EE5F3C">
        <w:rPr>
          <w:rFonts w:ascii="宋体" w:hAnsi="宋体" w:hint="eastAsia"/>
          <w:sz w:val="22"/>
          <w:szCs w:val="22"/>
        </w:rPr>
        <w:t>投资者当日部分赎回的理财本金</w:t>
      </w:r>
      <w:r>
        <w:rPr>
          <w:rFonts w:ascii="宋体" w:hAnsi="宋体" w:hint="eastAsia"/>
          <w:sz w:val="22"/>
          <w:szCs w:val="22"/>
        </w:rPr>
        <w:t>，招商银行将按照以上第（1）点的方式确认赎回</w:t>
      </w:r>
      <w:r w:rsidRPr="00EE5F3C">
        <w:rPr>
          <w:rFonts w:ascii="宋体" w:hAnsi="宋体"/>
          <w:sz w:val="22"/>
          <w:szCs w:val="22"/>
        </w:rPr>
        <w:t>申请的有效性</w:t>
      </w:r>
      <w:r>
        <w:rPr>
          <w:rFonts w:ascii="宋体" w:hAnsi="宋体" w:hint="eastAsia"/>
          <w:sz w:val="22"/>
          <w:szCs w:val="22"/>
        </w:rPr>
        <w:t>，</w:t>
      </w:r>
      <w:r w:rsidRPr="00EE5F3C">
        <w:rPr>
          <w:rFonts w:ascii="宋体" w:hAnsi="宋体" w:hint="eastAsia"/>
          <w:sz w:val="22"/>
          <w:szCs w:val="22"/>
        </w:rPr>
        <w:t>为投资者扣减份额</w:t>
      </w:r>
      <w:r>
        <w:rPr>
          <w:rFonts w:ascii="宋体" w:hAnsi="宋体" w:hint="eastAsia"/>
          <w:sz w:val="22"/>
          <w:szCs w:val="22"/>
        </w:rPr>
        <w:t>并支付本金。</w:t>
      </w:r>
      <w:r w:rsidRPr="00EE5F3C">
        <w:rPr>
          <w:rFonts w:ascii="宋体" w:hAnsi="宋体" w:hint="eastAsia"/>
          <w:sz w:val="22"/>
          <w:szCs w:val="22"/>
        </w:rPr>
        <w:t>投资者当日部分赎回的理财本金对应的理财收益仅在每月</w:t>
      </w:r>
      <w:r w:rsidR="001557EC">
        <w:rPr>
          <w:rFonts w:ascii="宋体" w:hAnsi="宋体" w:hint="eastAsia"/>
          <w:sz w:val="22"/>
          <w:szCs w:val="22"/>
        </w:rPr>
        <w:t>27</w:t>
      </w:r>
      <w:r>
        <w:rPr>
          <w:rFonts w:ascii="宋体" w:hAnsi="宋体" w:hint="eastAsia"/>
          <w:sz w:val="22"/>
          <w:szCs w:val="22"/>
        </w:rPr>
        <w:t>日（收益分配</w:t>
      </w:r>
      <w:r w:rsidRPr="00EE5F3C">
        <w:rPr>
          <w:rFonts w:ascii="宋体" w:hAnsi="宋体" w:hint="eastAsia"/>
          <w:sz w:val="22"/>
          <w:szCs w:val="22"/>
        </w:rPr>
        <w:t>登记日</w:t>
      </w:r>
      <w:r>
        <w:rPr>
          <w:rFonts w:ascii="宋体" w:hAnsi="宋体" w:hint="eastAsia"/>
          <w:sz w:val="22"/>
          <w:szCs w:val="22"/>
        </w:rPr>
        <w:t>）</w:t>
      </w:r>
      <w:r w:rsidRPr="00EE5F3C">
        <w:rPr>
          <w:rFonts w:ascii="宋体" w:hAnsi="宋体" w:hint="eastAsia"/>
          <w:sz w:val="22"/>
          <w:szCs w:val="22"/>
        </w:rPr>
        <w:t>起3个交易日内划转至投资者指定账户，逢节假日顺延</w:t>
      </w:r>
      <w:r>
        <w:rPr>
          <w:rFonts w:ascii="宋体" w:hAnsi="宋体" w:hint="eastAsia"/>
          <w:sz w:val="22"/>
          <w:szCs w:val="22"/>
        </w:rPr>
        <w:t>。</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4. 快速赎回</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（1）投资者可选择快速赎回，单个投资者上一交易日16:30至下一交易日16:30的快速赎回上限为5万份理财计划。</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（2）全额快速赎回</w:t>
      </w:r>
    </w:p>
    <w:p w:rsidR="00D219AB" w:rsidRDefault="00CC75A4" w:rsidP="00CC75A4">
      <w:pPr>
        <w:adjustRightInd w:val="0"/>
        <w:snapToGrid w:val="0"/>
        <w:spacing w:line="300" w:lineRule="auto"/>
        <w:ind w:firstLineChars="200" w:firstLine="440"/>
        <w:rPr>
          <w:rFonts w:ascii="宋体" w:hAnsi="宋体"/>
          <w:sz w:val="22"/>
          <w:szCs w:val="22"/>
        </w:rPr>
      </w:pPr>
      <w:r>
        <w:rPr>
          <w:rFonts w:ascii="宋体" w:hAnsi="宋体" w:hint="eastAsia"/>
          <w:sz w:val="22"/>
          <w:szCs w:val="22"/>
        </w:rPr>
        <w:t>投资者全额快速赎回本理财计划时，对于不同时间提出的快速赎回申请，招商银行将按照如下方式确认快速赎回</w:t>
      </w:r>
      <w:r w:rsidRPr="00EE5F3C">
        <w:rPr>
          <w:rFonts w:ascii="宋体" w:hAnsi="宋体"/>
          <w:sz w:val="22"/>
          <w:szCs w:val="22"/>
        </w:rPr>
        <w:t>申请的有效性</w:t>
      </w:r>
      <w:r>
        <w:rPr>
          <w:rFonts w:ascii="宋体" w:hAnsi="宋体" w:hint="eastAsia"/>
          <w:sz w:val="22"/>
          <w:szCs w:val="22"/>
        </w:rPr>
        <w:t>，</w:t>
      </w:r>
      <w:r w:rsidRPr="00EE5F3C">
        <w:rPr>
          <w:rFonts w:ascii="宋体" w:hAnsi="宋体" w:hint="eastAsia"/>
          <w:sz w:val="22"/>
          <w:szCs w:val="22"/>
        </w:rPr>
        <w:t>为投资者扣减份额</w:t>
      </w:r>
      <w:r>
        <w:rPr>
          <w:rFonts w:ascii="宋体" w:hAnsi="宋体" w:hint="eastAsia"/>
          <w:sz w:val="22"/>
          <w:szCs w:val="22"/>
        </w:rPr>
        <w:t>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5250"/>
        <w:gridCol w:w="1643"/>
      </w:tblGrid>
      <w:tr w:rsidR="00D219AB" w:rsidRPr="00D82891" w:rsidTr="00D219AB">
        <w:tc>
          <w:tcPr>
            <w:tcW w:w="1709" w:type="dxa"/>
            <w:tcBorders>
              <w:top w:val="single" w:sz="4" w:space="0" w:color="000000"/>
              <w:left w:val="single" w:sz="4" w:space="0" w:color="000000"/>
              <w:bottom w:val="single" w:sz="4" w:space="0" w:color="000000"/>
              <w:right w:val="single" w:sz="4" w:space="0" w:color="000000"/>
            </w:tcBorders>
            <w:vAlign w:val="center"/>
          </w:tcPr>
          <w:p w:rsidR="00D219AB" w:rsidRPr="00D82891" w:rsidRDefault="00D219AB" w:rsidP="00894C95">
            <w:pPr>
              <w:adjustRightInd w:val="0"/>
              <w:snapToGrid w:val="0"/>
              <w:spacing w:line="300" w:lineRule="auto"/>
              <w:rPr>
                <w:rFonts w:ascii="宋体" w:hAnsi="宋体"/>
                <w:b/>
                <w:sz w:val="22"/>
                <w:szCs w:val="22"/>
              </w:rPr>
            </w:pPr>
            <w:r w:rsidRPr="00D82891">
              <w:rPr>
                <w:rFonts w:ascii="宋体" w:hAnsi="宋体" w:hint="eastAsia"/>
                <w:b/>
                <w:sz w:val="22"/>
                <w:szCs w:val="22"/>
              </w:rPr>
              <w:t>赎回申请时间</w:t>
            </w:r>
          </w:p>
        </w:tc>
        <w:tc>
          <w:tcPr>
            <w:tcW w:w="5250" w:type="dxa"/>
            <w:tcBorders>
              <w:top w:val="single" w:sz="4" w:space="0" w:color="000000"/>
              <w:left w:val="single" w:sz="4" w:space="0" w:color="000000"/>
              <w:bottom w:val="single" w:sz="4" w:space="0" w:color="000000"/>
              <w:right w:val="single" w:sz="4" w:space="0" w:color="000000"/>
            </w:tcBorders>
            <w:vAlign w:val="center"/>
          </w:tcPr>
          <w:p w:rsidR="00D219AB" w:rsidRPr="00D82891" w:rsidRDefault="00D219AB" w:rsidP="00894C95">
            <w:pPr>
              <w:adjustRightInd w:val="0"/>
              <w:snapToGrid w:val="0"/>
              <w:spacing w:line="300" w:lineRule="auto"/>
              <w:rPr>
                <w:rFonts w:ascii="宋体" w:hAnsi="宋体"/>
                <w:b/>
                <w:sz w:val="22"/>
                <w:szCs w:val="22"/>
              </w:rPr>
            </w:pPr>
            <w:r w:rsidRPr="00D82891">
              <w:rPr>
                <w:rFonts w:ascii="宋体" w:hAnsi="宋体" w:hint="eastAsia"/>
                <w:b/>
                <w:sz w:val="22"/>
                <w:szCs w:val="22"/>
              </w:rPr>
              <w:t>赎回确认方式</w:t>
            </w:r>
          </w:p>
        </w:tc>
        <w:tc>
          <w:tcPr>
            <w:tcW w:w="1643" w:type="dxa"/>
            <w:tcBorders>
              <w:top w:val="single" w:sz="4" w:space="0" w:color="000000"/>
              <w:left w:val="single" w:sz="4" w:space="0" w:color="000000"/>
              <w:bottom w:val="single" w:sz="4" w:space="0" w:color="000000"/>
              <w:right w:val="single" w:sz="4" w:space="0" w:color="000000"/>
            </w:tcBorders>
            <w:vAlign w:val="center"/>
          </w:tcPr>
          <w:p w:rsidR="00D219AB" w:rsidRPr="00D82891" w:rsidRDefault="00D219AB" w:rsidP="00894C95">
            <w:pPr>
              <w:adjustRightInd w:val="0"/>
              <w:snapToGrid w:val="0"/>
              <w:spacing w:line="300" w:lineRule="auto"/>
              <w:rPr>
                <w:rFonts w:ascii="宋体" w:hAnsi="宋体"/>
                <w:b/>
                <w:sz w:val="22"/>
                <w:szCs w:val="22"/>
              </w:rPr>
            </w:pPr>
            <w:r w:rsidRPr="00D82891">
              <w:rPr>
                <w:rFonts w:ascii="宋体" w:hAnsi="宋体" w:hint="eastAsia"/>
                <w:b/>
                <w:sz w:val="22"/>
                <w:szCs w:val="22"/>
              </w:rPr>
              <w:t>赎回确认日</w:t>
            </w:r>
          </w:p>
        </w:tc>
      </w:tr>
      <w:tr w:rsidR="00D219AB" w:rsidRPr="00D82891" w:rsidTr="00D219AB">
        <w:tc>
          <w:tcPr>
            <w:tcW w:w="1709"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每个交易日</w:t>
            </w:r>
          </w:p>
          <w:p w:rsidR="00D219AB" w:rsidRPr="00D8289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0:00-9:30</w:t>
            </w:r>
          </w:p>
        </w:tc>
        <w:tc>
          <w:tcPr>
            <w:tcW w:w="5250" w:type="dxa"/>
            <w:tcBorders>
              <w:top w:val="single" w:sz="4" w:space="0" w:color="000000"/>
              <w:left w:val="single" w:sz="4" w:space="0" w:color="000000"/>
              <w:bottom w:val="single" w:sz="4" w:space="0" w:color="000000"/>
              <w:right w:val="single" w:sz="4" w:space="0" w:color="000000"/>
            </w:tcBorders>
            <w:vAlign w:val="center"/>
          </w:tcPr>
          <w:p w:rsidR="00D219AB" w:rsidRPr="00D8289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投资者赎回申请成功后，投资者当日持有的理财计划余额对应的本金将实时划转至投资者指定账户，对应的理财收益将在当日9:30后划转至投资者指定账户。</w:t>
            </w:r>
          </w:p>
        </w:tc>
        <w:tc>
          <w:tcPr>
            <w:tcW w:w="1643" w:type="dxa"/>
            <w:tcBorders>
              <w:top w:val="single" w:sz="4" w:space="0" w:color="000000"/>
              <w:left w:val="single" w:sz="4" w:space="0" w:color="000000"/>
              <w:bottom w:val="single" w:sz="4" w:space="0" w:color="000000"/>
              <w:right w:val="single" w:sz="4" w:space="0" w:color="000000"/>
            </w:tcBorders>
            <w:vAlign w:val="center"/>
          </w:tcPr>
          <w:p w:rsidR="00D219AB" w:rsidRPr="00D8289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当日</w:t>
            </w:r>
          </w:p>
        </w:tc>
      </w:tr>
      <w:tr w:rsidR="00D219AB" w:rsidRPr="00D82891" w:rsidTr="00D219AB">
        <w:tc>
          <w:tcPr>
            <w:tcW w:w="1709"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每个交易日</w:t>
            </w:r>
          </w:p>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9:30-16:30</w:t>
            </w:r>
          </w:p>
        </w:tc>
        <w:tc>
          <w:tcPr>
            <w:tcW w:w="5250"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投资者赎回申请成功后，投资者当日持有的理财计划余额对应的本金及理财收益将实时划转至投资者指定账户。</w:t>
            </w:r>
          </w:p>
        </w:tc>
        <w:tc>
          <w:tcPr>
            <w:tcW w:w="1643"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当日</w:t>
            </w:r>
          </w:p>
        </w:tc>
      </w:tr>
      <w:tr w:rsidR="00D219AB" w:rsidRPr="00D82891" w:rsidTr="00D219AB">
        <w:tc>
          <w:tcPr>
            <w:tcW w:w="1709"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其他时间</w:t>
            </w:r>
          </w:p>
        </w:tc>
        <w:tc>
          <w:tcPr>
            <w:tcW w:w="5250"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投资者赎回申请成功后，投资者当日持有的理财计划余额对应的本金将实时划转至投资者指定账户，对应的理财收益将在下一交易日9:30后划转至投资者指定账户。</w:t>
            </w:r>
          </w:p>
        </w:tc>
        <w:tc>
          <w:tcPr>
            <w:tcW w:w="1643" w:type="dxa"/>
            <w:tcBorders>
              <w:top w:val="single" w:sz="4" w:space="0" w:color="000000"/>
              <w:left w:val="single" w:sz="4" w:space="0" w:color="000000"/>
              <w:bottom w:val="single" w:sz="4" w:space="0" w:color="000000"/>
              <w:right w:val="single" w:sz="4" w:space="0" w:color="000000"/>
            </w:tcBorders>
            <w:vAlign w:val="center"/>
          </w:tcPr>
          <w:p w:rsidR="00D219AB" w:rsidRPr="00B252F1" w:rsidRDefault="00D219AB" w:rsidP="00894C95">
            <w:pPr>
              <w:adjustRightInd w:val="0"/>
              <w:snapToGrid w:val="0"/>
              <w:spacing w:line="300" w:lineRule="auto"/>
              <w:rPr>
                <w:rFonts w:ascii="宋体" w:hAnsi="宋体"/>
                <w:b/>
                <w:sz w:val="22"/>
                <w:szCs w:val="22"/>
              </w:rPr>
            </w:pPr>
            <w:r w:rsidRPr="00B252F1">
              <w:rPr>
                <w:rFonts w:ascii="宋体" w:hAnsi="宋体" w:hint="eastAsia"/>
                <w:b/>
                <w:sz w:val="22"/>
                <w:szCs w:val="22"/>
              </w:rPr>
              <w:t>当日</w:t>
            </w:r>
          </w:p>
        </w:tc>
      </w:tr>
    </w:tbl>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t>（3）部分快速赎回</w:t>
      </w:r>
    </w:p>
    <w:p w:rsidR="00CC75A4" w:rsidRDefault="00CC75A4" w:rsidP="00CC75A4">
      <w:pPr>
        <w:adjustRightInd w:val="0"/>
        <w:snapToGrid w:val="0"/>
        <w:spacing w:line="300" w:lineRule="auto"/>
        <w:ind w:firstLineChars="200" w:firstLine="440"/>
        <w:rPr>
          <w:rFonts w:ascii="宋体" w:hAnsi="宋体"/>
          <w:sz w:val="22"/>
          <w:szCs w:val="22"/>
        </w:rPr>
      </w:pPr>
      <w:r>
        <w:rPr>
          <w:rFonts w:ascii="宋体" w:hAnsi="宋体" w:hint="eastAsia"/>
          <w:sz w:val="22"/>
          <w:szCs w:val="22"/>
        </w:rPr>
        <w:t>投资者</w:t>
      </w:r>
      <w:r w:rsidRPr="00EE5F3C">
        <w:rPr>
          <w:rFonts w:ascii="宋体" w:hAnsi="宋体" w:hint="eastAsia"/>
          <w:sz w:val="22"/>
          <w:szCs w:val="22"/>
        </w:rPr>
        <w:t>部分</w:t>
      </w:r>
      <w:r>
        <w:rPr>
          <w:rFonts w:ascii="宋体" w:hAnsi="宋体" w:hint="eastAsia"/>
          <w:sz w:val="22"/>
          <w:szCs w:val="22"/>
        </w:rPr>
        <w:t>快速</w:t>
      </w:r>
      <w:r w:rsidRPr="00EE5F3C">
        <w:rPr>
          <w:rFonts w:ascii="宋体" w:hAnsi="宋体" w:hint="eastAsia"/>
          <w:sz w:val="22"/>
          <w:szCs w:val="22"/>
        </w:rPr>
        <w:t>赎回</w:t>
      </w:r>
      <w:r>
        <w:rPr>
          <w:rFonts w:ascii="宋体" w:hAnsi="宋体" w:hint="eastAsia"/>
          <w:sz w:val="22"/>
          <w:szCs w:val="22"/>
        </w:rPr>
        <w:t>本理财计划时</w:t>
      </w:r>
      <w:r w:rsidRPr="00EE5F3C">
        <w:rPr>
          <w:rFonts w:ascii="宋体" w:hAnsi="宋体" w:hint="eastAsia"/>
          <w:sz w:val="22"/>
          <w:szCs w:val="22"/>
        </w:rPr>
        <w:t>，</w:t>
      </w:r>
      <w:r>
        <w:rPr>
          <w:rFonts w:ascii="宋体" w:hAnsi="宋体" w:hint="eastAsia"/>
          <w:sz w:val="22"/>
          <w:szCs w:val="22"/>
        </w:rPr>
        <w:t>对于</w:t>
      </w:r>
      <w:r w:rsidRPr="00EE5F3C">
        <w:rPr>
          <w:rFonts w:ascii="宋体" w:hAnsi="宋体" w:hint="eastAsia"/>
          <w:sz w:val="22"/>
          <w:szCs w:val="22"/>
        </w:rPr>
        <w:t>投资者当日部分</w:t>
      </w:r>
      <w:r>
        <w:rPr>
          <w:rFonts w:ascii="宋体" w:hAnsi="宋体" w:hint="eastAsia"/>
          <w:sz w:val="22"/>
          <w:szCs w:val="22"/>
        </w:rPr>
        <w:t>快速</w:t>
      </w:r>
      <w:r w:rsidRPr="00EE5F3C">
        <w:rPr>
          <w:rFonts w:ascii="宋体" w:hAnsi="宋体" w:hint="eastAsia"/>
          <w:sz w:val="22"/>
          <w:szCs w:val="22"/>
        </w:rPr>
        <w:t>赎回的理财本金</w:t>
      </w:r>
      <w:r>
        <w:rPr>
          <w:rFonts w:ascii="宋体" w:hAnsi="宋体" w:hint="eastAsia"/>
          <w:sz w:val="22"/>
          <w:szCs w:val="22"/>
        </w:rPr>
        <w:t>，招商银行将按照以上第（2）点的方式确认赎回</w:t>
      </w:r>
      <w:r w:rsidRPr="00EE5F3C">
        <w:rPr>
          <w:rFonts w:ascii="宋体" w:hAnsi="宋体"/>
          <w:sz w:val="22"/>
          <w:szCs w:val="22"/>
        </w:rPr>
        <w:t>申请的有效性</w:t>
      </w:r>
      <w:r>
        <w:rPr>
          <w:rFonts w:ascii="宋体" w:hAnsi="宋体" w:hint="eastAsia"/>
          <w:sz w:val="22"/>
          <w:szCs w:val="22"/>
        </w:rPr>
        <w:t>，</w:t>
      </w:r>
      <w:r w:rsidRPr="00EE5F3C">
        <w:rPr>
          <w:rFonts w:ascii="宋体" w:hAnsi="宋体" w:hint="eastAsia"/>
          <w:sz w:val="22"/>
          <w:szCs w:val="22"/>
        </w:rPr>
        <w:t>为投资者扣减份额</w:t>
      </w:r>
      <w:r>
        <w:rPr>
          <w:rFonts w:ascii="宋体" w:hAnsi="宋体" w:hint="eastAsia"/>
          <w:sz w:val="22"/>
          <w:szCs w:val="22"/>
        </w:rPr>
        <w:t>并支付本金。</w:t>
      </w:r>
      <w:r w:rsidRPr="00EE5F3C">
        <w:rPr>
          <w:rFonts w:ascii="宋体" w:hAnsi="宋体" w:hint="eastAsia"/>
          <w:sz w:val="22"/>
          <w:szCs w:val="22"/>
        </w:rPr>
        <w:t>投资者当日部分</w:t>
      </w:r>
      <w:r>
        <w:rPr>
          <w:rFonts w:ascii="宋体" w:hAnsi="宋体" w:hint="eastAsia"/>
          <w:sz w:val="22"/>
          <w:szCs w:val="22"/>
        </w:rPr>
        <w:t>快速</w:t>
      </w:r>
      <w:r w:rsidRPr="00EE5F3C">
        <w:rPr>
          <w:rFonts w:ascii="宋体" w:hAnsi="宋体" w:hint="eastAsia"/>
          <w:sz w:val="22"/>
          <w:szCs w:val="22"/>
        </w:rPr>
        <w:t>赎回的理财本金对应的理财收益仅在每月</w:t>
      </w:r>
      <w:r w:rsidR="001557EC">
        <w:rPr>
          <w:rFonts w:ascii="宋体" w:hAnsi="宋体" w:hint="eastAsia"/>
          <w:sz w:val="22"/>
          <w:szCs w:val="22"/>
        </w:rPr>
        <w:t>27</w:t>
      </w:r>
      <w:r>
        <w:rPr>
          <w:rFonts w:ascii="宋体" w:hAnsi="宋体" w:hint="eastAsia"/>
          <w:sz w:val="22"/>
          <w:szCs w:val="22"/>
        </w:rPr>
        <w:t>日（收益分配</w:t>
      </w:r>
      <w:r w:rsidRPr="00EE5F3C">
        <w:rPr>
          <w:rFonts w:ascii="宋体" w:hAnsi="宋体" w:hint="eastAsia"/>
          <w:sz w:val="22"/>
          <w:szCs w:val="22"/>
        </w:rPr>
        <w:t>登记日</w:t>
      </w:r>
      <w:r>
        <w:rPr>
          <w:rFonts w:ascii="宋体" w:hAnsi="宋体" w:hint="eastAsia"/>
          <w:sz w:val="22"/>
          <w:szCs w:val="22"/>
        </w:rPr>
        <w:t>）</w:t>
      </w:r>
      <w:r w:rsidRPr="00EE5F3C">
        <w:rPr>
          <w:rFonts w:ascii="宋体" w:hAnsi="宋体" w:hint="eastAsia"/>
          <w:sz w:val="22"/>
          <w:szCs w:val="22"/>
        </w:rPr>
        <w:t>起3个交易日内划转至投资者指定账户，逢节假日顺延</w:t>
      </w:r>
      <w:r>
        <w:rPr>
          <w:rFonts w:ascii="宋体" w:hAnsi="宋体" w:hint="eastAsia"/>
          <w:sz w:val="22"/>
          <w:szCs w:val="22"/>
        </w:rPr>
        <w:t>。</w:t>
      </w:r>
    </w:p>
    <w:p w:rsidR="00CC75A4" w:rsidRDefault="00CC75A4" w:rsidP="00CC75A4">
      <w:pPr>
        <w:adjustRightInd w:val="0"/>
        <w:snapToGrid w:val="0"/>
        <w:spacing w:line="300" w:lineRule="auto"/>
        <w:rPr>
          <w:rFonts w:ascii="宋体" w:hAnsi="宋体"/>
          <w:sz w:val="22"/>
          <w:szCs w:val="22"/>
        </w:rPr>
      </w:pPr>
      <w:r>
        <w:rPr>
          <w:rFonts w:ascii="宋体" w:hAnsi="宋体" w:hint="eastAsia"/>
          <w:sz w:val="22"/>
          <w:szCs w:val="22"/>
        </w:rPr>
        <w:lastRenderedPageBreak/>
        <w:t xml:space="preserve">5. </w:t>
      </w:r>
      <w:r w:rsidRPr="00EE5F3C">
        <w:rPr>
          <w:rFonts w:ascii="宋体" w:hAnsi="宋体" w:hint="eastAsia"/>
          <w:sz w:val="22"/>
          <w:szCs w:val="22"/>
        </w:rPr>
        <w:t>大额赎回限制</w:t>
      </w:r>
    </w:p>
    <w:p w:rsidR="00CC75A4" w:rsidRDefault="00CC75A4">
      <w:pPr>
        <w:tabs>
          <w:tab w:val="left" w:pos="720"/>
        </w:tabs>
        <w:rPr>
          <w:rFonts w:ascii="宋体" w:hAnsi="宋体"/>
          <w:sz w:val="22"/>
          <w:szCs w:val="22"/>
        </w:rPr>
      </w:pPr>
      <w:r>
        <w:rPr>
          <w:rFonts w:ascii="宋体" w:hAnsi="宋体" w:hint="eastAsia"/>
          <w:sz w:val="22"/>
          <w:szCs w:val="22"/>
        </w:rPr>
        <w:t>（1）</w:t>
      </w:r>
      <w:r>
        <w:rPr>
          <w:rFonts w:ascii="宋体" w:hAnsi="宋体"/>
          <w:sz w:val="22"/>
          <w:szCs w:val="22"/>
        </w:rPr>
        <w:t>理财计划存续期内任一</w:t>
      </w:r>
      <w:r>
        <w:rPr>
          <w:rFonts w:ascii="宋体" w:hAnsi="宋体" w:hint="eastAsia"/>
          <w:sz w:val="22"/>
          <w:szCs w:val="22"/>
        </w:rPr>
        <w:t>交易</w:t>
      </w:r>
      <w:r>
        <w:rPr>
          <w:rFonts w:ascii="宋体" w:hAnsi="宋体"/>
          <w:sz w:val="22"/>
          <w:szCs w:val="22"/>
        </w:rPr>
        <w:t>日，若本理财计划实时余额达到理财计划规模上限，招商银行有权拒绝超过本理财计划规模上限部分的申购申请。</w:t>
      </w:r>
      <w:r w:rsidR="005D6326">
        <w:rPr>
          <w:rFonts w:ascii="宋体" w:hAnsi="宋体"/>
          <w:sz w:val="22"/>
          <w:szCs w:val="22"/>
        </w:rPr>
        <w:fldChar w:fldCharType="begin"/>
      </w:r>
      <w:r>
        <w:rPr>
          <w:rFonts w:ascii="宋体" w:hAnsi="宋体"/>
          <w:sz w:val="22"/>
          <w:szCs w:val="22"/>
        </w:rPr>
        <w:instrText xml:space="preserve"> MERGEFIELD 大额赎回 </w:instrText>
      </w:r>
      <w:r w:rsidR="005D6326">
        <w:rPr>
          <w:rFonts w:ascii="宋体" w:hAnsi="宋体"/>
          <w:sz w:val="22"/>
          <w:szCs w:val="22"/>
        </w:rPr>
        <w:fldChar w:fldCharType="separate"/>
      </w:r>
      <w:r w:rsidR="00B264F6">
        <w:rPr>
          <w:rFonts w:ascii="宋体" w:hAnsi="宋体" w:hint="eastAsia"/>
          <w:sz w:val="22"/>
          <w:szCs w:val="22"/>
        </w:rPr>
        <w:t>理财计划存续期内任一交易日，若理财计划净赎回额超过本理财计划上一交易日余额10%时，</w:t>
      </w:r>
      <w:r>
        <w:rPr>
          <w:rFonts w:ascii="宋体" w:hAnsi="宋体" w:hint="eastAsia"/>
          <w:sz w:val="22"/>
          <w:szCs w:val="22"/>
        </w:rPr>
        <w:t>即为发生大额赎回，此时招商银行系统有权拒绝赎回申请，可能影响投资者的资金安排，带来流动性风险。</w:t>
      </w:r>
      <w:r w:rsidR="005D6326">
        <w:rPr>
          <w:rFonts w:ascii="宋体" w:hAnsi="宋体"/>
          <w:sz w:val="22"/>
          <w:szCs w:val="22"/>
        </w:rPr>
        <w:fldChar w:fldCharType="end"/>
      </w:r>
    </w:p>
    <w:p w:rsidR="00CC75A4" w:rsidRDefault="00CC75A4" w:rsidP="00CC75A4">
      <w:pPr>
        <w:adjustRightInd w:val="0"/>
        <w:snapToGrid w:val="0"/>
        <w:spacing w:line="300" w:lineRule="auto"/>
        <w:rPr>
          <w:rFonts w:ascii="宋体" w:hAnsi="宋体"/>
          <w:b/>
          <w:sz w:val="22"/>
          <w:szCs w:val="22"/>
        </w:rPr>
      </w:pPr>
      <w:r>
        <w:rPr>
          <w:rFonts w:ascii="宋体" w:hAnsi="宋体" w:hint="eastAsia"/>
          <w:sz w:val="22"/>
          <w:szCs w:val="22"/>
        </w:rPr>
        <w:t>（2）快速赎回申请不受大额赎回限制的约束。</w:t>
      </w:r>
    </w:p>
    <w:p w:rsidR="008319DB" w:rsidRDefault="008319DB">
      <w:pPr>
        <w:tabs>
          <w:tab w:val="left" w:pos="720"/>
        </w:tabs>
        <w:rPr>
          <w:rFonts w:ascii="宋体" w:hAnsi="宋体" w:cs="Arial"/>
          <w:sz w:val="24"/>
        </w:rPr>
      </w:pPr>
    </w:p>
    <w:p w:rsidR="008319DB" w:rsidRDefault="000D0DF8">
      <w:pPr>
        <w:rPr>
          <w:rFonts w:ascii="宋体" w:hAnsi="宋体" w:cs="Arial"/>
          <w:sz w:val="24"/>
        </w:rPr>
      </w:pPr>
      <w:r>
        <w:rPr>
          <w:rFonts w:ascii="宋体" w:hAnsi="宋体" w:cs="Arial"/>
          <w:b/>
          <w:sz w:val="24"/>
        </w:rPr>
        <w:t>理财计划收费</w:t>
      </w:r>
    </w:p>
    <w:p w:rsidR="008319DB" w:rsidRDefault="000D0DF8">
      <w:pPr>
        <w:rPr>
          <w:rFonts w:ascii="宋体" w:hAnsi="宋体"/>
          <w:sz w:val="22"/>
          <w:szCs w:val="22"/>
        </w:rPr>
      </w:pPr>
      <w:r>
        <w:rPr>
          <w:rFonts w:ascii="宋体" w:hAnsi="宋体"/>
          <w:sz w:val="22"/>
          <w:szCs w:val="22"/>
        </w:rPr>
        <w:t>1</w:t>
      </w:r>
      <w:r>
        <w:rPr>
          <w:rFonts w:ascii="宋体" w:hAnsi="宋体" w:hint="eastAsia"/>
          <w:sz w:val="22"/>
          <w:szCs w:val="22"/>
        </w:rPr>
        <w:t>.托管费</w:t>
      </w:r>
    </w:p>
    <w:p w:rsidR="008319DB" w:rsidRDefault="000D0DF8">
      <w:pPr>
        <w:rPr>
          <w:rFonts w:ascii="宋体" w:hAnsi="宋体"/>
          <w:sz w:val="22"/>
          <w:szCs w:val="22"/>
        </w:rPr>
      </w:pPr>
      <w:r>
        <w:rPr>
          <w:rFonts w:ascii="宋体" w:hAnsi="宋体"/>
          <w:sz w:val="22"/>
          <w:szCs w:val="22"/>
        </w:rPr>
        <w:t>本理财计划</w:t>
      </w:r>
      <w:r>
        <w:rPr>
          <w:rFonts w:ascii="宋体" w:hAnsi="宋体" w:hint="eastAsia"/>
          <w:sz w:val="22"/>
          <w:szCs w:val="22"/>
        </w:rPr>
        <w:t>托管</w:t>
      </w:r>
      <w:r>
        <w:rPr>
          <w:rFonts w:ascii="宋体" w:hAnsi="宋体"/>
          <w:sz w:val="22"/>
          <w:szCs w:val="22"/>
        </w:rPr>
        <w:t>费由</w:t>
      </w:r>
      <w:r>
        <w:rPr>
          <w:rFonts w:ascii="宋体" w:hAnsi="宋体" w:hint="eastAsia"/>
          <w:sz w:val="22"/>
          <w:szCs w:val="22"/>
        </w:rPr>
        <w:t>托管行</w:t>
      </w:r>
      <w:r>
        <w:rPr>
          <w:rFonts w:ascii="宋体" w:hAnsi="宋体"/>
          <w:sz w:val="22"/>
          <w:szCs w:val="22"/>
        </w:rPr>
        <w:t>收取，年费率为</w:t>
      </w:r>
      <w:r>
        <w:rPr>
          <w:rFonts w:ascii="宋体" w:hAnsi="宋体" w:hint="eastAsia"/>
          <w:sz w:val="22"/>
          <w:szCs w:val="22"/>
        </w:rPr>
        <w:t>0.10</w:t>
      </w:r>
      <w:r>
        <w:rPr>
          <w:rFonts w:ascii="宋体" w:hAnsi="宋体"/>
          <w:sz w:val="22"/>
          <w:szCs w:val="22"/>
        </w:rPr>
        <w:t>%；</w:t>
      </w:r>
    </w:p>
    <w:p w:rsidR="008319DB" w:rsidRDefault="000D0DF8">
      <w:pPr>
        <w:rPr>
          <w:rFonts w:ascii="宋体" w:hAnsi="宋体"/>
          <w:sz w:val="22"/>
          <w:szCs w:val="22"/>
        </w:rPr>
      </w:pPr>
      <w:r>
        <w:rPr>
          <w:rFonts w:ascii="宋体" w:hAnsi="宋体"/>
          <w:sz w:val="22"/>
          <w:szCs w:val="22"/>
        </w:rPr>
        <w:t>托管费的计算方法如下：</w:t>
      </w:r>
    </w:p>
    <w:p w:rsidR="008319DB" w:rsidRDefault="000D0DF8">
      <w:pPr>
        <w:rPr>
          <w:rFonts w:ascii="宋体" w:hAnsi="宋体"/>
          <w:sz w:val="22"/>
          <w:szCs w:val="22"/>
        </w:rPr>
      </w:pPr>
      <w:r>
        <w:rPr>
          <w:rFonts w:ascii="宋体" w:hAnsi="宋体"/>
          <w:sz w:val="22"/>
          <w:szCs w:val="22"/>
        </w:rPr>
        <w:t>T = E</w:t>
      </w:r>
      <w:r w:rsidR="00F34EB2">
        <w:rPr>
          <w:rFonts w:ascii="宋体" w:hAnsi="宋体"/>
          <w:noProof/>
          <w:sz w:val="22"/>
          <w:szCs w:val="22"/>
        </w:rPr>
        <w:drawing>
          <wp:inline distT="0" distB="0" distL="0" distR="0">
            <wp:extent cx="116205" cy="1244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05" cy="124460"/>
                    </a:xfrm>
                    <a:prstGeom prst="rect">
                      <a:avLst/>
                    </a:prstGeom>
                    <a:noFill/>
                    <a:ln w="9525">
                      <a:noFill/>
                      <a:miter lim="800000"/>
                      <a:headEnd/>
                      <a:tailEnd/>
                    </a:ln>
                  </pic:spPr>
                </pic:pic>
              </a:graphicData>
            </a:graphic>
          </wp:inline>
        </w:drawing>
      </w:r>
      <w:r>
        <w:rPr>
          <w:rFonts w:ascii="宋体" w:hAnsi="宋体"/>
          <w:sz w:val="22"/>
          <w:szCs w:val="22"/>
        </w:rPr>
        <w:t xml:space="preserve"> </w:t>
      </w:r>
      <w:r>
        <w:rPr>
          <w:rFonts w:ascii="宋体" w:hAnsi="宋体" w:hint="eastAsia"/>
          <w:sz w:val="22"/>
          <w:szCs w:val="22"/>
        </w:rPr>
        <w:t>0.10</w:t>
      </w:r>
      <w:r>
        <w:rPr>
          <w:rFonts w:ascii="宋体" w:hAnsi="宋体"/>
          <w:sz w:val="22"/>
          <w:szCs w:val="22"/>
        </w:rPr>
        <w:t>% ÷ 365</w:t>
      </w:r>
    </w:p>
    <w:p w:rsidR="008319DB" w:rsidRDefault="000D0DF8">
      <w:pPr>
        <w:rPr>
          <w:rFonts w:ascii="宋体" w:hAnsi="宋体"/>
          <w:sz w:val="22"/>
          <w:szCs w:val="22"/>
        </w:rPr>
      </w:pPr>
      <w:r>
        <w:rPr>
          <w:rFonts w:ascii="宋体" w:hAnsi="宋体"/>
          <w:sz w:val="22"/>
          <w:szCs w:val="22"/>
        </w:rPr>
        <w:t>T为每日应计提的托管费</w:t>
      </w:r>
    </w:p>
    <w:p w:rsidR="008319DB" w:rsidRDefault="000D0DF8">
      <w:pPr>
        <w:rPr>
          <w:rFonts w:ascii="宋体" w:hAnsi="宋体"/>
          <w:sz w:val="22"/>
          <w:szCs w:val="22"/>
        </w:rPr>
      </w:pPr>
      <w:r>
        <w:rPr>
          <w:rFonts w:ascii="宋体" w:hAnsi="宋体"/>
          <w:sz w:val="22"/>
          <w:szCs w:val="22"/>
        </w:rPr>
        <w:t>E为距计提日最近的上一工作日理财计划</w:t>
      </w:r>
      <w:r>
        <w:rPr>
          <w:rFonts w:ascii="宋体" w:hAnsi="宋体" w:hint="eastAsia"/>
          <w:sz w:val="22"/>
          <w:szCs w:val="22"/>
        </w:rPr>
        <w:t>份额</w:t>
      </w:r>
    </w:p>
    <w:p w:rsidR="008319DB" w:rsidRDefault="000D0DF8">
      <w:pPr>
        <w:rPr>
          <w:rFonts w:ascii="宋体" w:hAnsi="宋体"/>
          <w:sz w:val="22"/>
          <w:szCs w:val="22"/>
        </w:rPr>
      </w:pPr>
      <w:r>
        <w:rPr>
          <w:rFonts w:ascii="宋体" w:hAnsi="宋体" w:hint="eastAsia"/>
          <w:sz w:val="22"/>
          <w:szCs w:val="22"/>
        </w:rPr>
        <w:t>托管</w:t>
      </w:r>
      <w:r>
        <w:rPr>
          <w:rFonts w:ascii="宋体" w:hAnsi="宋体"/>
          <w:sz w:val="22"/>
          <w:szCs w:val="22"/>
        </w:rPr>
        <w:t>费每日计提（含节假日），</w:t>
      </w:r>
      <w:r>
        <w:rPr>
          <w:rFonts w:ascii="宋体" w:hAnsi="宋体" w:hint="eastAsia"/>
          <w:sz w:val="22"/>
          <w:szCs w:val="22"/>
        </w:rPr>
        <w:t>按月支付。</w:t>
      </w:r>
    </w:p>
    <w:p w:rsidR="008319DB" w:rsidRDefault="000D0DF8">
      <w:pPr>
        <w:rPr>
          <w:rFonts w:ascii="宋体" w:hAnsi="宋体"/>
          <w:sz w:val="22"/>
          <w:szCs w:val="22"/>
        </w:rPr>
      </w:pPr>
      <w:r>
        <w:rPr>
          <w:rFonts w:ascii="宋体" w:hAnsi="宋体" w:hint="eastAsia"/>
          <w:sz w:val="22"/>
          <w:szCs w:val="22"/>
        </w:rPr>
        <w:t>2</w:t>
      </w:r>
      <w:r>
        <w:rPr>
          <w:rFonts w:ascii="宋体" w:hAnsi="宋体"/>
          <w:sz w:val="22"/>
          <w:szCs w:val="22"/>
        </w:rPr>
        <w:t>.管理费</w:t>
      </w:r>
    </w:p>
    <w:p w:rsidR="008319DB" w:rsidRDefault="000D0DF8">
      <w:pPr>
        <w:rPr>
          <w:rFonts w:ascii="宋体" w:hAnsi="宋体"/>
          <w:sz w:val="22"/>
          <w:szCs w:val="22"/>
        </w:rPr>
      </w:pPr>
      <w:r>
        <w:rPr>
          <w:rFonts w:ascii="宋体" w:hAnsi="宋体"/>
          <w:sz w:val="22"/>
          <w:szCs w:val="22"/>
        </w:rPr>
        <w:t>本理财计划投资管理费由投资管理人</w:t>
      </w:r>
      <w:r>
        <w:rPr>
          <w:rFonts w:ascii="宋体" w:hAnsi="宋体" w:hint="eastAsia"/>
          <w:sz w:val="22"/>
          <w:szCs w:val="22"/>
        </w:rPr>
        <w:t>招商银行</w:t>
      </w:r>
      <w:r>
        <w:rPr>
          <w:rFonts w:ascii="宋体" w:hAnsi="宋体"/>
          <w:sz w:val="22"/>
          <w:szCs w:val="22"/>
        </w:rPr>
        <w:t>收取，年费率为</w:t>
      </w:r>
      <w:r>
        <w:rPr>
          <w:rFonts w:ascii="宋体" w:hAnsi="宋体" w:hint="eastAsia"/>
          <w:sz w:val="22"/>
          <w:szCs w:val="22"/>
        </w:rPr>
        <w:t>0.60</w:t>
      </w:r>
      <w:r>
        <w:rPr>
          <w:rFonts w:ascii="宋体" w:hAnsi="宋体"/>
          <w:sz w:val="22"/>
          <w:szCs w:val="22"/>
        </w:rPr>
        <w:t xml:space="preserve">%； </w:t>
      </w:r>
    </w:p>
    <w:p w:rsidR="008319DB" w:rsidRDefault="000D0DF8">
      <w:pPr>
        <w:rPr>
          <w:rFonts w:ascii="宋体" w:hAnsi="宋体"/>
          <w:sz w:val="22"/>
          <w:szCs w:val="22"/>
        </w:rPr>
      </w:pPr>
      <w:r>
        <w:rPr>
          <w:rFonts w:ascii="宋体" w:hAnsi="宋体"/>
          <w:sz w:val="22"/>
          <w:szCs w:val="22"/>
        </w:rPr>
        <w:t>投资管理费的计算方法如下：</w:t>
      </w:r>
    </w:p>
    <w:p w:rsidR="008319DB" w:rsidRDefault="000D0DF8">
      <w:pPr>
        <w:rPr>
          <w:rFonts w:ascii="宋体" w:hAnsi="宋体"/>
          <w:sz w:val="22"/>
          <w:szCs w:val="22"/>
        </w:rPr>
      </w:pPr>
      <w:r>
        <w:rPr>
          <w:rFonts w:ascii="宋体" w:hAnsi="宋体"/>
          <w:sz w:val="22"/>
          <w:szCs w:val="22"/>
        </w:rPr>
        <w:t xml:space="preserve">H = E </w:t>
      </w:r>
      <w:r w:rsidR="00F34EB2">
        <w:rPr>
          <w:rFonts w:ascii="宋体" w:hAnsi="宋体"/>
          <w:noProof/>
          <w:sz w:val="22"/>
          <w:szCs w:val="22"/>
        </w:rPr>
        <w:drawing>
          <wp:inline distT="0" distB="0" distL="0" distR="0">
            <wp:extent cx="116205" cy="1244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205" cy="124460"/>
                    </a:xfrm>
                    <a:prstGeom prst="rect">
                      <a:avLst/>
                    </a:prstGeom>
                    <a:noFill/>
                    <a:ln w="9525">
                      <a:noFill/>
                      <a:miter lim="800000"/>
                      <a:headEnd/>
                      <a:tailEnd/>
                    </a:ln>
                  </pic:spPr>
                </pic:pic>
              </a:graphicData>
            </a:graphic>
          </wp:inline>
        </w:drawing>
      </w:r>
      <w:r>
        <w:rPr>
          <w:rFonts w:ascii="宋体" w:hAnsi="宋体"/>
          <w:sz w:val="22"/>
          <w:szCs w:val="22"/>
        </w:rPr>
        <w:t xml:space="preserve"> </w:t>
      </w:r>
      <w:r>
        <w:rPr>
          <w:rFonts w:ascii="宋体" w:hAnsi="宋体" w:hint="eastAsia"/>
          <w:sz w:val="22"/>
          <w:szCs w:val="22"/>
        </w:rPr>
        <w:t>0.60</w:t>
      </w:r>
      <w:r>
        <w:rPr>
          <w:rFonts w:ascii="宋体" w:hAnsi="宋体"/>
          <w:sz w:val="22"/>
          <w:szCs w:val="22"/>
        </w:rPr>
        <w:t>% ÷ 365</w:t>
      </w:r>
    </w:p>
    <w:p w:rsidR="008319DB" w:rsidRDefault="000D0DF8">
      <w:pPr>
        <w:rPr>
          <w:rFonts w:ascii="宋体" w:hAnsi="宋体"/>
          <w:sz w:val="22"/>
          <w:szCs w:val="22"/>
        </w:rPr>
      </w:pPr>
      <w:r>
        <w:rPr>
          <w:rFonts w:ascii="宋体" w:hAnsi="宋体"/>
          <w:sz w:val="22"/>
          <w:szCs w:val="22"/>
        </w:rPr>
        <w:t>H为每日应计提的投资管理费</w:t>
      </w:r>
    </w:p>
    <w:p w:rsidR="008319DB" w:rsidRDefault="000D0DF8">
      <w:pPr>
        <w:rPr>
          <w:rFonts w:ascii="宋体" w:hAnsi="宋体"/>
          <w:sz w:val="22"/>
          <w:szCs w:val="22"/>
        </w:rPr>
      </w:pPr>
      <w:r>
        <w:rPr>
          <w:rFonts w:ascii="宋体" w:hAnsi="宋体"/>
          <w:sz w:val="22"/>
          <w:szCs w:val="22"/>
        </w:rPr>
        <w:t>E为距计提日最近的上一工作日理财计划</w:t>
      </w:r>
      <w:r>
        <w:rPr>
          <w:rFonts w:ascii="宋体" w:hAnsi="宋体" w:hint="eastAsia"/>
          <w:sz w:val="22"/>
          <w:szCs w:val="22"/>
        </w:rPr>
        <w:t>份额</w:t>
      </w:r>
    </w:p>
    <w:p w:rsidR="008319DB" w:rsidRDefault="000D0DF8">
      <w:pPr>
        <w:rPr>
          <w:rFonts w:ascii="宋体" w:hAnsi="宋体"/>
          <w:sz w:val="22"/>
          <w:szCs w:val="22"/>
        </w:rPr>
      </w:pPr>
      <w:r>
        <w:rPr>
          <w:rFonts w:ascii="宋体" w:hAnsi="宋体"/>
          <w:sz w:val="22"/>
          <w:szCs w:val="22"/>
        </w:rPr>
        <w:t>投资管理费每日计提（含节假日），</w:t>
      </w:r>
      <w:r>
        <w:rPr>
          <w:rFonts w:ascii="宋体" w:hAnsi="宋体" w:hint="eastAsia"/>
          <w:sz w:val="22"/>
          <w:szCs w:val="22"/>
        </w:rPr>
        <w:t>按月支付</w:t>
      </w:r>
      <w:r>
        <w:rPr>
          <w:rFonts w:ascii="宋体" w:hAnsi="宋体"/>
          <w:sz w:val="22"/>
          <w:szCs w:val="22"/>
        </w:rPr>
        <w:t>。</w:t>
      </w:r>
    </w:p>
    <w:p w:rsidR="008319DB" w:rsidRDefault="000D0DF8">
      <w:pPr>
        <w:rPr>
          <w:rFonts w:ascii="宋体" w:hAnsi="宋体"/>
          <w:sz w:val="22"/>
          <w:szCs w:val="22"/>
        </w:rPr>
      </w:pPr>
      <w:r>
        <w:rPr>
          <w:rFonts w:ascii="宋体" w:hAnsi="宋体" w:hint="eastAsia"/>
          <w:sz w:val="22"/>
          <w:szCs w:val="22"/>
        </w:rPr>
        <w:t>3.</w:t>
      </w:r>
      <w:r>
        <w:rPr>
          <w:rFonts w:ascii="宋体" w:hAnsi="宋体"/>
          <w:sz w:val="22"/>
          <w:szCs w:val="22"/>
        </w:rPr>
        <w:t>其他费用</w:t>
      </w:r>
    </w:p>
    <w:p w:rsidR="008319DB" w:rsidRDefault="000D0DF8">
      <w:pPr>
        <w:rPr>
          <w:rFonts w:ascii="宋体" w:hAnsi="宋体"/>
          <w:b/>
          <w:sz w:val="22"/>
          <w:szCs w:val="22"/>
        </w:rPr>
      </w:pPr>
      <w:r>
        <w:rPr>
          <w:rFonts w:ascii="宋体" w:hAnsi="宋体"/>
          <w:b/>
          <w:sz w:val="22"/>
          <w:szCs w:val="22"/>
        </w:rPr>
        <w:t>如果本理财计划通过单一资金信托计划进行可转换债券（含分离交易可转债）申购，参与</w:t>
      </w:r>
      <w:r>
        <w:rPr>
          <w:rFonts w:ascii="宋体" w:hAnsi="宋体" w:hint="eastAsia"/>
          <w:b/>
          <w:sz w:val="22"/>
          <w:szCs w:val="22"/>
        </w:rPr>
        <w:t>同业存款、</w:t>
      </w:r>
      <w:r>
        <w:rPr>
          <w:rFonts w:ascii="宋体" w:hAnsi="宋体"/>
          <w:b/>
          <w:sz w:val="22"/>
          <w:szCs w:val="22"/>
        </w:rPr>
        <w:t>交易所债券回购等，信托费用</w:t>
      </w:r>
      <w:r>
        <w:rPr>
          <w:rFonts w:ascii="宋体" w:hAnsi="宋体" w:hint="eastAsia"/>
          <w:b/>
          <w:sz w:val="22"/>
          <w:szCs w:val="22"/>
        </w:rPr>
        <w:t>和保管费用将以实际费率标准，</w:t>
      </w:r>
      <w:r>
        <w:rPr>
          <w:rFonts w:ascii="宋体" w:hAnsi="宋体"/>
          <w:b/>
          <w:sz w:val="22"/>
          <w:szCs w:val="22"/>
        </w:rPr>
        <w:t>按信托财产净值从信托财产中每日计提，并将在信托财产全部变现返还招商银行时从信托财产中扣除。</w:t>
      </w:r>
    </w:p>
    <w:p w:rsidR="008319DB" w:rsidRDefault="000D0DF8">
      <w:pPr>
        <w:rPr>
          <w:rFonts w:ascii="宋体" w:hAnsi="宋体"/>
          <w:sz w:val="22"/>
          <w:szCs w:val="22"/>
        </w:rPr>
      </w:pPr>
      <w:r>
        <w:rPr>
          <w:rFonts w:ascii="宋体" w:hAnsi="宋体"/>
          <w:sz w:val="22"/>
          <w:szCs w:val="22"/>
        </w:rPr>
        <w:t xml:space="preserve">                 </w:t>
      </w:r>
    </w:p>
    <w:p w:rsidR="008319DB" w:rsidRDefault="008319DB">
      <w:pPr>
        <w:tabs>
          <w:tab w:val="left" w:pos="900"/>
        </w:tabs>
        <w:rPr>
          <w:rFonts w:ascii="宋体" w:hAnsi="宋体" w:cs="Arial"/>
          <w:sz w:val="24"/>
        </w:rPr>
      </w:pPr>
    </w:p>
    <w:p w:rsidR="008319DB" w:rsidRDefault="000D0DF8">
      <w:pPr>
        <w:rPr>
          <w:rFonts w:ascii="宋体" w:hAnsi="宋体" w:cs="Arial"/>
          <w:b/>
          <w:sz w:val="24"/>
        </w:rPr>
      </w:pPr>
      <w:r>
        <w:rPr>
          <w:rFonts w:ascii="宋体" w:hAnsi="宋体" w:cs="Arial"/>
          <w:b/>
          <w:sz w:val="24"/>
        </w:rPr>
        <w:t>理财计划的投资</w:t>
      </w:r>
    </w:p>
    <w:p w:rsidR="008319DB" w:rsidRDefault="000D0DF8">
      <w:pPr>
        <w:rPr>
          <w:rFonts w:ascii="宋体" w:hAnsi="宋体"/>
          <w:sz w:val="22"/>
          <w:szCs w:val="22"/>
        </w:rPr>
      </w:pPr>
      <w:r>
        <w:rPr>
          <w:rFonts w:ascii="宋体" w:hAnsi="宋体"/>
          <w:sz w:val="22"/>
          <w:szCs w:val="22"/>
        </w:rPr>
        <w:t>1.投资理念</w:t>
      </w:r>
    </w:p>
    <w:p w:rsidR="008319DB" w:rsidRDefault="000D0DF8">
      <w:pPr>
        <w:pStyle w:val="20"/>
        <w:spacing w:after="0"/>
        <w:ind w:leftChars="0" w:left="0" w:firstLine="440"/>
        <w:rPr>
          <w:rFonts w:ascii="宋体" w:hAnsi="宋体"/>
          <w:sz w:val="22"/>
          <w:szCs w:val="22"/>
        </w:rPr>
      </w:pPr>
      <w:r>
        <w:rPr>
          <w:rFonts w:ascii="宋体" w:hAnsi="宋体" w:hint="eastAsia"/>
          <w:sz w:val="22"/>
          <w:szCs w:val="22"/>
        </w:rPr>
        <w:t>通过深入分析国内外宏观经济走势、宏观经济政策对金融市场的影响，本理财计划参与债券市场、同业存款、票据等金融资产投资，采用资产配置、利率预期策略、利差交易、信用价差交易及短期利率波动等固定收益投资和交易策略，有效控制组合风险，为客户提供与风险相匹配的回报，同时理财计划可投资于票据以及同业存款等金融资产，力争实现客户收益最大化。</w:t>
      </w:r>
    </w:p>
    <w:p w:rsidR="008319DB" w:rsidRDefault="000D0DF8">
      <w:pPr>
        <w:pStyle w:val="20"/>
        <w:spacing w:after="0"/>
        <w:ind w:leftChars="0" w:left="0" w:firstLineChars="0" w:firstLine="0"/>
        <w:rPr>
          <w:rFonts w:ascii="宋体" w:hAnsi="宋体"/>
          <w:sz w:val="22"/>
          <w:szCs w:val="22"/>
        </w:rPr>
      </w:pPr>
      <w:r>
        <w:rPr>
          <w:rFonts w:ascii="宋体" w:hAnsi="宋体"/>
          <w:sz w:val="22"/>
          <w:szCs w:val="22"/>
        </w:rPr>
        <w:t>2.投资范围</w:t>
      </w:r>
      <w:r>
        <w:rPr>
          <w:rFonts w:ascii="宋体" w:hAnsi="宋体" w:hint="eastAsia"/>
          <w:sz w:val="22"/>
          <w:szCs w:val="22"/>
        </w:rPr>
        <w:t>和比例</w:t>
      </w:r>
    </w:p>
    <w:p w:rsidR="005D6326" w:rsidRDefault="006D2BB0">
      <w:pPr>
        <w:ind w:firstLineChars="200" w:firstLine="440"/>
        <w:rPr>
          <w:rFonts w:ascii="宋体" w:hAnsi="宋体"/>
          <w:sz w:val="22"/>
          <w:szCs w:val="22"/>
        </w:rPr>
      </w:pPr>
      <w:r>
        <w:rPr>
          <w:rFonts w:ascii="宋体" w:hAnsi="宋体"/>
          <w:sz w:val="22"/>
          <w:szCs w:val="22"/>
        </w:rPr>
        <w:t>本理财计划资金由招商银行投资于</w:t>
      </w:r>
      <w:r>
        <w:rPr>
          <w:rFonts w:ascii="宋体" w:hAnsi="宋体" w:hint="eastAsia"/>
          <w:sz w:val="22"/>
          <w:szCs w:val="22"/>
        </w:rPr>
        <w:t>银行间和交易所市场信用级别较高、流动性较好的金融资产和金融工具，包括但不限于债券、资产支持证券、理财直接融资工具、资金拆借、逆回购、银行存款</w:t>
      </w:r>
      <w:r>
        <w:rPr>
          <w:rFonts w:ascii="宋体" w:hAnsi="宋体" w:hint="eastAsia"/>
          <w:color w:val="000000"/>
          <w:sz w:val="22"/>
          <w:szCs w:val="22"/>
        </w:rPr>
        <w:t>、券商收益凭证</w:t>
      </w:r>
      <w:r>
        <w:rPr>
          <w:rFonts w:ascii="宋体" w:hAnsi="宋体" w:hint="eastAsia"/>
          <w:sz w:val="22"/>
          <w:szCs w:val="22"/>
        </w:rPr>
        <w:t>等，并可通过信托计划、定向资产管理计划等资产管理计划进行投资。</w:t>
      </w:r>
    </w:p>
    <w:p w:rsidR="005D6326" w:rsidRDefault="000D0DF8">
      <w:pPr>
        <w:ind w:firstLineChars="200" w:firstLine="440"/>
        <w:rPr>
          <w:rFonts w:ascii="宋体" w:hAnsi="宋体"/>
          <w:sz w:val="22"/>
          <w:szCs w:val="22"/>
        </w:rPr>
      </w:pPr>
      <w:r>
        <w:rPr>
          <w:rFonts w:ascii="宋体" w:hAnsi="宋体" w:hint="eastAsia"/>
          <w:sz w:val="22"/>
          <w:szCs w:val="22"/>
        </w:rPr>
        <w:t>投资比例区间（</w:t>
      </w:r>
      <w:r>
        <w:rPr>
          <w:rFonts w:ascii="宋体" w:hAnsi="宋体" w:hint="eastAsia"/>
          <w:b/>
          <w:sz w:val="22"/>
          <w:szCs w:val="22"/>
        </w:rPr>
        <w:t>理财产品存续期内可能因市场的重大变化导致投资比例暂时超出上述区间，银行将尽合理努力，以客户利益最大化为原则尽快使投资比例恢复至上述规定区间</w:t>
      </w:r>
      <w:r>
        <w:rPr>
          <w:rFonts w:ascii="宋体" w:hAnsi="宋体" w:hint="eastAsia"/>
          <w:sz w:val="22"/>
          <w:szCs w:val="22"/>
        </w:rPr>
        <w:t>）</w:t>
      </w:r>
    </w:p>
    <w:tbl>
      <w:tblPr>
        <w:tblW w:w="6546" w:type="dxa"/>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4"/>
        <w:gridCol w:w="1602"/>
      </w:tblGrid>
      <w:tr w:rsidR="008319DB">
        <w:trPr>
          <w:trHeight w:val="319"/>
        </w:trPr>
        <w:tc>
          <w:tcPr>
            <w:tcW w:w="4944" w:type="dxa"/>
          </w:tcPr>
          <w:p w:rsidR="005D6326" w:rsidRDefault="000D0DF8">
            <w:pPr>
              <w:jc w:val="center"/>
            </w:pPr>
            <w:r>
              <w:rPr>
                <w:rFonts w:hint="eastAsia"/>
              </w:rPr>
              <w:lastRenderedPageBreak/>
              <w:t>投资品种</w:t>
            </w:r>
          </w:p>
        </w:tc>
        <w:tc>
          <w:tcPr>
            <w:tcW w:w="1602" w:type="dxa"/>
          </w:tcPr>
          <w:p w:rsidR="005D6326" w:rsidRDefault="000D0DF8">
            <w:pPr>
              <w:jc w:val="center"/>
            </w:pPr>
            <w:r>
              <w:rPr>
                <w:rFonts w:hint="eastAsia"/>
              </w:rPr>
              <w:t>计划配置比例</w:t>
            </w:r>
          </w:p>
        </w:tc>
      </w:tr>
      <w:tr w:rsidR="008319DB">
        <w:trPr>
          <w:trHeight w:val="319"/>
        </w:trPr>
        <w:tc>
          <w:tcPr>
            <w:tcW w:w="4944" w:type="dxa"/>
          </w:tcPr>
          <w:p w:rsidR="005D6326" w:rsidRDefault="000D0DF8">
            <w:pPr>
              <w:jc w:val="center"/>
            </w:pPr>
            <w:r>
              <w:rPr>
                <w:rFonts w:hint="eastAsia"/>
              </w:rPr>
              <w:t>国债、政策性金融债、央行票据</w:t>
            </w:r>
          </w:p>
        </w:tc>
        <w:tc>
          <w:tcPr>
            <w:tcW w:w="1602" w:type="dxa"/>
          </w:tcPr>
          <w:p w:rsidR="005D6326" w:rsidRDefault="000D0DF8">
            <w:pPr>
              <w:jc w:val="center"/>
              <w:rPr>
                <w:rFonts w:ascii="宋体" w:hAnsi="宋体"/>
                <w:sz w:val="22"/>
                <w:szCs w:val="22"/>
              </w:rPr>
            </w:pPr>
            <w:r>
              <w:rPr>
                <w:rFonts w:ascii="宋体" w:hAnsi="宋体"/>
                <w:sz w:val="22"/>
                <w:szCs w:val="22"/>
              </w:rPr>
              <w:t>0%-40%</w:t>
            </w:r>
          </w:p>
        </w:tc>
      </w:tr>
      <w:tr w:rsidR="008319DB">
        <w:trPr>
          <w:trHeight w:val="319"/>
        </w:trPr>
        <w:tc>
          <w:tcPr>
            <w:tcW w:w="4944" w:type="dxa"/>
          </w:tcPr>
          <w:p w:rsidR="005D6326" w:rsidRDefault="000D0DF8">
            <w:pPr>
              <w:jc w:val="center"/>
            </w:pPr>
            <w:r>
              <w:rPr>
                <w:rFonts w:hint="eastAsia"/>
              </w:rPr>
              <w:t>银行存款、银行间及交易所债券资产</w:t>
            </w:r>
          </w:p>
        </w:tc>
        <w:tc>
          <w:tcPr>
            <w:tcW w:w="1602" w:type="dxa"/>
          </w:tcPr>
          <w:p w:rsidR="005D6326" w:rsidRDefault="000D0DF8">
            <w:pPr>
              <w:jc w:val="center"/>
              <w:rPr>
                <w:rFonts w:ascii="宋体" w:hAnsi="宋体"/>
                <w:sz w:val="22"/>
                <w:szCs w:val="22"/>
              </w:rPr>
            </w:pPr>
            <w:r>
              <w:rPr>
                <w:rFonts w:ascii="宋体" w:hAnsi="宋体"/>
                <w:sz w:val="22"/>
                <w:szCs w:val="22"/>
              </w:rPr>
              <w:t>30%-100%</w:t>
            </w:r>
          </w:p>
        </w:tc>
      </w:tr>
      <w:tr w:rsidR="008319DB">
        <w:trPr>
          <w:trHeight w:val="319"/>
        </w:trPr>
        <w:tc>
          <w:tcPr>
            <w:tcW w:w="4944" w:type="dxa"/>
          </w:tcPr>
          <w:p w:rsidR="005D6326" w:rsidRDefault="000D0DF8">
            <w:pPr>
              <w:jc w:val="center"/>
            </w:pPr>
            <w:r>
              <w:rPr>
                <w:rFonts w:hint="eastAsia"/>
              </w:rPr>
              <w:t>理财直接融资工具</w:t>
            </w:r>
          </w:p>
        </w:tc>
        <w:tc>
          <w:tcPr>
            <w:tcW w:w="1602" w:type="dxa"/>
          </w:tcPr>
          <w:p w:rsidR="005D6326" w:rsidRDefault="000D0DF8">
            <w:pPr>
              <w:jc w:val="center"/>
              <w:rPr>
                <w:rFonts w:ascii="宋体" w:hAnsi="宋体"/>
                <w:sz w:val="22"/>
                <w:szCs w:val="22"/>
              </w:rPr>
            </w:pPr>
            <w:r>
              <w:rPr>
                <w:rFonts w:ascii="宋体" w:hAnsi="宋体"/>
                <w:sz w:val="22"/>
                <w:szCs w:val="22"/>
              </w:rPr>
              <w:t>0%-50%</w:t>
            </w:r>
          </w:p>
        </w:tc>
      </w:tr>
      <w:tr w:rsidR="008319DB">
        <w:trPr>
          <w:trHeight w:val="339"/>
        </w:trPr>
        <w:tc>
          <w:tcPr>
            <w:tcW w:w="4944" w:type="dxa"/>
          </w:tcPr>
          <w:p w:rsidR="005D6326" w:rsidRDefault="000D0DF8">
            <w:pPr>
              <w:jc w:val="center"/>
            </w:pPr>
            <w:r>
              <w:rPr>
                <w:rFonts w:hint="eastAsia"/>
              </w:rPr>
              <w:t>信托计划、定向资产管理计划</w:t>
            </w:r>
            <w:r w:rsidR="006D2BB0">
              <w:rPr>
                <w:rFonts w:hint="eastAsia"/>
              </w:rPr>
              <w:t>、券商收益凭证</w:t>
            </w:r>
          </w:p>
        </w:tc>
        <w:tc>
          <w:tcPr>
            <w:tcW w:w="1602" w:type="dxa"/>
          </w:tcPr>
          <w:p w:rsidR="005D6326" w:rsidRDefault="000D0DF8">
            <w:pPr>
              <w:jc w:val="center"/>
              <w:rPr>
                <w:rFonts w:ascii="宋体" w:hAnsi="宋体"/>
                <w:sz w:val="22"/>
                <w:szCs w:val="22"/>
              </w:rPr>
            </w:pPr>
            <w:r>
              <w:rPr>
                <w:rFonts w:ascii="宋体" w:hAnsi="宋体"/>
                <w:sz w:val="22"/>
                <w:szCs w:val="22"/>
              </w:rPr>
              <w:t>0%-70%</w:t>
            </w:r>
          </w:p>
        </w:tc>
      </w:tr>
      <w:tr w:rsidR="006D2BB0">
        <w:trPr>
          <w:trHeight w:val="339"/>
        </w:trPr>
        <w:tc>
          <w:tcPr>
            <w:tcW w:w="4944" w:type="dxa"/>
          </w:tcPr>
          <w:p w:rsidR="005D6326" w:rsidRDefault="006D2BB0">
            <w:pPr>
              <w:jc w:val="center"/>
            </w:pPr>
            <w:r>
              <w:rPr>
                <w:rFonts w:hint="eastAsia"/>
              </w:rPr>
              <w:t>银行存款、逆回购</w:t>
            </w:r>
          </w:p>
        </w:tc>
        <w:tc>
          <w:tcPr>
            <w:tcW w:w="1602" w:type="dxa"/>
          </w:tcPr>
          <w:p w:rsidR="005D6326" w:rsidRDefault="005D6326">
            <w:pPr>
              <w:jc w:val="center"/>
              <w:rPr>
                <w:rFonts w:ascii="宋体" w:hAnsi="宋体"/>
                <w:sz w:val="22"/>
                <w:szCs w:val="22"/>
              </w:rPr>
            </w:pPr>
          </w:p>
        </w:tc>
      </w:tr>
      <w:tr w:rsidR="008319DB">
        <w:trPr>
          <w:trHeight w:val="349"/>
        </w:trPr>
        <w:tc>
          <w:tcPr>
            <w:tcW w:w="4944" w:type="dxa"/>
          </w:tcPr>
          <w:p w:rsidR="005D6326" w:rsidRDefault="000D0DF8">
            <w:pPr>
              <w:jc w:val="center"/>
            </w:pPr>
            <w:r>
              <w:rPr>
                <w:rFonts w:hint="eastAsia"/>
              </w:rPr>
              <w:t>其他固定收益金融资产</w:t>
            </w:r>
          </w:p>
        </w:tc>
        <w:tc>
          <w:tcPr>
            <w:tcW w:w="1602" w:type="dxa"/>
          </w:tcPr>
          <w:p w:rsidR="005D6326" w:rsidRDefault="000D0DF8">
            <w:pPr>
              <w:jc w:val="center"/>
              <w:rPr>
                <w:rFonts w:ascii="宋体" w:hAnsi="宋体"/>
                <w:sz w:val="22"/>
                <w:szCs w:val="22"/>
              </w:rPr>
            </w:pPr>
            <w:r>
              <w:rPr>
                <w:rFonts w:ascii="宋体" w:hAnsi="宋体"/>
                <w:sz w:val="22"/>
                <w:szCs w:val="22"/>
              </w:rPr>
              <w:t>0%-70%</w:t>
            </w:r>
          </w:p>
        </w:tc>
      </w:tr>
    </w:tbl>
    <w:p w:rsidR="008319DB" w:rsidRDefault="000D0DF8">
      <w:pPr>
        <w:pStyle w:val="20"/>
        <w:spacing w:after="0"/>
        <w:ind w:leftChars="0" w:left="0" w:firstLineChars="0" w:firstLine="0"/>
        <w:rPr>
          <w:rFonts w:ascii="宋体" w:hAnsi="宋体"/>
          <w:sz w:val="22"/>
          <w:szCs w:val="22"/>
        </w:rPr>
      </w:pPr>
      <w:bookmarkStart w:id="0" w:name="_Hlt86217622"/>
      <w:bookmarkEnd w:id="0"/>
      <w:r>
        <w:rPr>
          <w:rFonts w:ascii="宋体" w:hAnsi="宋体" w:hint="eastAsia"/>
          <w:sz w:val="22"/>
          <w:szCs w:val="22"/>
        </w:rPr>
        <w:t>3</w:t>
      </w:r>
      <w:r>
        <w:rPr>
          <w:rFonts w:ascii="宋体" w:hAnsi="宋体"/>
          <w:sz w:val="22"/>
          <w:szCs w:val="22"/>
        </w:rPr>
        <w:t xml:space="preserve">.业绩比较标准 </w:t>
      </w:r>
    </w:p>
    <w:p w:rsidR="008319DB" w:rsidRDefault="000D0DF8">
      <w:pPr>
        <w:pStyle w:val="20"/>
        <w:spacing w:after="0"/>
        <w:ind w:leftChars="0" w:left="0" w:firstLine="440"/>
        <w:rPr>
          <w:rFonts w:ascii="宋体" w:hAnsi="宋体"/>
          <w:sz w:val="22"/>
          <w:szCs w:val="22"/>
        </w:rPr>
      </w:pPr>
      <w:r>
        <w:rPr>
          <w:rFonts w:ascii="宋体" w:hAnsi="宋体" w:hint="eastAsia"/>
          <w:sz w:val="22"/>
          <w:szCs w:val="22"/>
        </w:rPr>
        <w:t>中国人民银行公布的7天通知存款利率。</w:t>
      </w:r>
    </w:p>
    <w:p w:rsidR="008319DB" w:rsidRDefault="000D0DF8">
      <w:pPr>
        <w:pStyle w:val="20"/>
        <w:spacing w:after="0"/>
        <w:ind w:leftChars="0" w:left="0" w:firstLine="440"/>
        <w:rPr>
          <w:rFonts w:ascii="宋体" w:hAnsi="宋体"/>
          <w:sz w:val="22"/>
          <w:szCs w:val="22"/>
        </w:rPr>
      </w:pPr>
      <w:r>
        <w:rPr>
          <w:rFonts w:ascii="宋体" w:hAnsi="宋体"/>
          <w:sz w:val="22"/>
          <w:szCs w:val="22"/>
        </w:rPr>
        <w:t xml:space="preserve">如果所采用的业绩比较基准不再符合本理财计划的投资风险和投资策略，或有更适合的业绩比较基准，管理人可与托管人协商一致后，确定采用其他业绩比较基准并及时披露。 </w:t>
      </w:r>
      <w:bookmarkStart w:id="1" w:name="_Hlt76182362"/>
      <w:bookmarkStart w:id="2" w:name="_Hlt80434931"/>
      <w:bookmarkStart w:id="3" w:name="_Hlt86984501"/>
      <w:bookmarkStart w:id="4" w:name="_Hlt97867783"/>
      <w:bookmarkStart w:id="5" w:name="_Hlt86217539"/>
      <w:bookmarkEnd w:id="1"/>
      <w:bookmarkEnd w:id="2"/>
      <w:bookmarkEnd w:id="3"/>
      <w:bookmarkEnd w:id="4"/>
      <w:bookmarkEnd w:id="5"/>
    </w:p>
    <w:p w:rsidR="008319DB" w:rsidRDefault="000D0DF8">
      <w:pPr>
        <w:rPr>
          <w:rFonts w:ascii="宋体" w:hAnsi="宋体"/>
          <w:sz w:val="22"/>
          <w:szCs w:val="22"/>
        </w:rPr>
      </w:pPr>
      <w:bookmarkStart w:id="6" w:name="_Hlt92601186"/>
      <w:bookmarkStart w:id="7" w:name="_Hlt97867794"/>
      <w:bookmarkStart w:id="8" w:name="_Hlt100242476"/>
      <w:bookmarkStart w:id="9" w:name="_Toc104821780"/>
      <w:bookmarkStart w:id="10" w:name="_Toc106542252"/>
      <w:bookmarkStart w:id="11" w:name="_Toc106543680"/>
      <w:bookmarkStart w:id="12" w:name="_Toc112786072"/>
      <w:bookmarkEnd w:id="6"/>
      <w:bookmarkEnd w:id="7"/>
      <w:bookmarkEnd w:id="8"/>
      <w:r>
        <w:rPr>
          <w:rFonts w:ascii="宋体" w:hAnsi="宋体" w:hint="eastAsia"/>
          <w:sz w:val="22"/>
          <w:szCs w:val="22"/>
        </w:rPr>
        <w:t>4</w:t>
      </w:r>
      <w:r>
        <w:rPr>
          <w:rFonts w:ascii="宋体" w:hAnsi="宋体"/>
          <w:sz w:val="22"/>
          <w:szCs w:val="22"/>
        </w:rPr>
        <w:t>.投资限制</w:t>
      </w:r>
      <w:bookmarkEnd w:id="9"/>
      <w:bookmarkEnd w:id="10"/>
      <w:bookmarkEnd w:id="11"/>
      <w:bookmarkEnd w:id="12"/>
    </w:p>
    <w:p w:rsidR="008319DB" w:rsidRDefault="000D0DF8">
      <w:pPr>
        <w:pStyle w:val="a0"/>
        <w:ind w:firstLine="440"/>
        <w:rPr>
          <w:rFonts w:ascii="宋体" w:hAnsi="宋体"/>
          <w:sz w:val="22"/>
          <w:szCs w:val="22"/>
        </w:rPr>
      </w:pPr>
      <w:r>
        <w:rPr>
          <w:rFonts w:ascii="宋体" w:hAnsi="宋体"/>
          <w:sz w:val="22"/>
          <w:szCs w:val="22"/>
        </w:rPr>
        <w:t>为维护理财计划委托人的合法权益，本理财计划禁止从事下列投资行为：</w:t>
      </w:r>
    </w:p>
    <w:p w:rsidR="008319DB" w:rsidRDefault="000D0DF8">
      <w:pPr>
        <w:ind w:firstLineChars="200" w:firstLine="440"/>
        <w:rPr>
          <w:rFonts w:ascii="宋体" w:hAnsi="宋体"/>
          <w:sz w:val="22"/>
          <w:szCs w:val="22"/>
        </w:rPr>
      </w:pPr>
      <w:r>
        <w:rPr>
          <w:rFonts w:ascii="宋体" w:hAnsi="宋体"/>
          <w:sz w:val="22"/>
          <w:szCs w:val="22"/>
        </w:rPr>
        <w:t>（1）将理财计划资产用于对外担保等用途；</w:t>
      </w:r>
    </w:p>
    <w:p w:rsidR="008319DB" w:rsidRDefault="000D0DF8">
      <w:pPr>
        <w:ind w:firstLineChars="200" w:firstLine="440"/>
        <w:rPr>
          <w:rFonts w:ascii="宋体" w:hAnsi="宋体"/>
          <w:sz w:val="22"/>
          <w:szCs w:val="22"/>
        </w:rPr>
      </w:pPr>
      <w:r>
        <w:rPr>
          <w:rFonts w:ascii="宋体" w:hAnsi="宋体"/>
          <w:sz w:val="22"/>
          <w:szCs w:val="22"/>
        </w:rPr>
        <w:t>（2）将理财计划资产用于可能承担无限责任的投资；</w:t>
      </w:r>
    </w:p>
    <w:p w:rsidR="008319DB" w:rsidRDefault="000D0DF8">
      <w:pPr>
        <w:ind w:firstLineChars="200" w:firstLine="440"/>
        <w:rPr>
          <w:rFonts w:ascii="宋体" w:hAnsi="宋体"/>
          <w:sz w:val="22"/>
          <w:szCs w:val="22"/>
        </w:rPr>
      </w:pPr>
      <w:r>
        <w:rPr>
          <w:rFonts w:ascii="宋体" w:hAnsi="宋体"/>
          <w:sz w:val="22"/>
          <w:szCs w:val="22"/>
        </w:rPr>
        <w:t>（</w:t>
      </w:r>
      <w:r>
        <w:rPr>
          <w:rFonts w:ascii="宋体" w:hAnsi="宋体" w:hint="eastAsia"/>
          <w:sz w:val="22"/>
          <w:szCs w:val="22"/>
        </w:rPr>
        <w:t>3</w:t>
      </w:r>
      <w:r>
        <w:rPr>
          <w:rFonts w:ascii="宋体" w:hAnsi="宋体"/>
          <w:sz w:val="22"/>
          <w:szCs w:val="22"/>
        </w:rPr>
        <w:t xml:space="preserve">）通过二级市场买入股票或可转债； </w:t>
      </w:r>
    </w:p>
    <w:p w:rsidR="008319DB" w:rsidRDefault="000D0DF8">
      <w:pPr>
        <w:pStyle w:val="a0"/>
        <w:ind w:firstLine="440"/>
        <w:rPr>
          <w:rFonts w:ascii="宋体" w:hAnsi="宋体"/>
          <w:sz w:val="22"/>
          <w:szCs w:val="22"/>
        </w:rPr>
      </w:pPr>
      <w:r>
        <w:rPr>
          <w:rFonts w:ascii="宋体" w:hAnsi="宋体"/>
          <w:sz w:val="22"/>
          <w:szCs w:val="22"/>
        </w:rPr>
        <w:t>（</w:t>
      </w:r>
      <w:r>
        <w:rPr>
          <w:rFonts w:ascii="宋体" w:hAnsi="宋体" w:hint="eastAsia"/>
          <w:sz w:val="22"/>
          <w:szCs w:val="22"/>
        </w:rPr>
        <w:t>4</w:t>
      </w:r>
      <w:r>
        <w:rPr>
          <w:rFonts w:ascii="宋体" w:hAnsi="宋体"/>
          <w:sz w:val="22"/>
          <w:szCs w:val="22"/>
        </w:rPr>
        <w:t>）</w:t>
      </w:r>
      <w:bookmarkStart w:id="13" w:name="_Hlt86329729"/>
      <w:bookmarkEnd w:id="13"/>
      <w:r>
        <w:rPr>
          <w:rFonts w:ascii="宋体" w:hAnsi="宋体" w:hint="eastAsia"/>
          <w:sz w:val="22"/>
          <w:szCs w:val="22"/>
        </w:rPr>
        <w:t>理财监管法规</w:t>
      </w:r>
      <w:r>
        <w:rPr>
          <w:rFonts w:ascii="宋体" w:hAnsi="宋体"/>
          <w:sz w:val="22"/>
          <w:szCs w:val="22"/>
        </w:rPr>
        <w:t>禁止从事投资。</w:t>
      </w:r>
      <w:bookmarkStart w:id="14" w:name="_GoBack"/>
      <w:bookmarkEnd w:id="14"/>
    </w:p>
    <w:p w:rsidR="008319DB" w:rsidRDefault="000D0DF8">
      <w:pPr>
        <w:pStyle w:val="a0"/>
        <w:ind w:firstLine="440"/>
        <w:rPr>
          <w:rFonts w:ascii="宋体" w:hAnsi="宋体"/>
          <w:sz w:val="22"/>
          <w:szCs w:val="22"/>
        </w:rPr>
      </w:pPr>
      <w:r>
        <w:rPr>
          <w:rFonts w:ascii="宋体" w:hAnsi="宋体"/>
          <w:sz w:val="22"/>
          <w:szCs w:val="22"/>
        </w:rPr>
        <w:t>本理财计划认购管理人</w:t>
      </w:r>
      <w:r>
        <w:rPr>
          <w:rFonts w:ascii="宋体" w:hAnsi="宋体" w:hint="eastAsia"/>
          <w:sz w:val="22"/>
          <w:szCs w:val="22"/>
        </w:rPr>
        <w:t>或委托人</w:t>
      </w:r>
      <w:r>
        <w:rPr>
          <w:rFonts w:ascii="宋体" w:hAnsi="宋体"/>
          <w:sz w:val="22"/>
          <w:szCs w:val="22"/>
        </w:rPr>
        <w:t>承销的固定收益证券时，应以市场公允价认购。</w:t>
      </w:r>
    </w:p>
    <w:p w:rsidR="008319DB" w:rsidRDefault="008319DB">
      <w:pPr>
        <w:tabs>
          <w:tab w:val="left" w:pos="900"/>
        </w:tabs>
        <w:rPr>
          <w:rFonts w:ascii="宋体" w:hAnsi="宋体" w:cs="Arial"/>
          <w:sz w:val="24"/>
        </w:rPr>
      </w:pPr>
    </w:p>
    <w:p w:rsidR="008319DB" w:rsidRDefault="008319DB">
      <w:pPr>
        <w:tabs>
          <w:tab w:val="left" w:pos="720"/>
        </w:tabs>
        <w:rPr>
          <w:rFonts w:ascii="宋体" w:hAnsi="宋体" w:cs="Arial"/>
          <w:sz w:val="24"/>
        </w:rPr>
      </w:pPr>
    </w:p>
    <w:p w:rsidR="008319DB" w:rsidRDefault="000D0DF8">
      <w:pPr>
        <w:rPr>
          <w:rFonts w:ascii="宋体" w:hAnsi="宋体" w:cs="Arial"/>
          <w:b/>
          <w:sz w:val="24"/>
        </w:rPr>
      </w:pPr>
      <w:r>
        <w:rPr>
          <w:rFonts w:ascii="宋体" w:hAnsi="宋体" w:cs="Arial"/>
          <w:b/>
          <w:sz w:val="24"/>
        </w:rPr>
        <w:t>提前终止</w:t>
      </w:r>
    </w:p>
    <w:p w:rsidR="008319DB" w:rsidRDefault="000D0DF8">
      <w:pPr>
        <w:rPr>
          <w:rFonts w:ascii="宋体" w:hAnsi="宋体"/>
          <w:sz w:val="22"/>
          <w:szCs w:val="22"/>
        </w:rPr>
      </w:pPr>
      <w:r>
        <w:rPr>
          <w:rFonts w:ascii="宋体" w:hAnsi="宋体"/>
          <w:sz w:val="22"/>
          <w:szCs w:val="22"/>
        </w:rPr>
        <w:t>1.</w:t>
      </w:r>
      <w:r>
        <w:rPr>
          <w:rFonts w:ascii="宋体" w:hAnsi="宋体"/>
          <w:b/>
          <w:sz w:val="22"/>
          <w:szCs w:val="22"/>
        </w:rPr>
        <w:t>理财</w:t>
      </w:r>
      <w:r>
        <w:rPr>
          <w:rFonts w:ascii="宋体" w:hAnsi="宋体" w:hint="eastAsia"/>
          <w:b/>
          <w:sz w:val="22"/>
          <w:szCs w:val="22"/>
        </w:rPr>
        <w:t>计划存续</w:t>
      </w:r>
      <w:r>
        <w:rPr>
          <w:rFonts w:ascii="宋体" w:hAnsi="宋体"/>
          <w:b/>
          <w:sz w:val="22"/>
          <w:szCs w:val="22"/>
        </w:rPr>
        <w:t>期内，</w:t>
      </w:r>
      <w:r>
        <w:rPr>
          <w:rFonts w:ascii="宋体" w:hAnsi="宋体" w:hint="eastAsia"/>
          <w:b/>
          <w:sz w:val="22"/>
          <w:szCs w:val="22"/>
        </w:rPr>
        <w:t>如发生下列情形之一的，</w:t>
      </w:r>
      <w:r>
        <w:rPr>
          <w:rFonts w:ascii="宋体" w:hAnsi="宋体"/>
          <w:b/>
          <w:sz w:val="22"/>
          <w:szCs w:val="22"/>
        </w:rPr>
        <w:t>招商银行有权但无义务提前终止理财计划</w:t>
      </w:r>
      <w:r>
        <w:rPr>
          <w:rFonts w:ascii="宋体" w:hAnsi="宋体" w:hint="eastAsia"/>
          <w:sz w:val="22"/>
          <w:szCs w:val="22"/>
        </w:rPr>
        <w:t>：</w:t>
      </w:r>
    </w:p>
    <w:p w:rsidR="008319DB" w:rsidRDefault="000D0DF8">
      <w:pPr>
        <w:rPr>
          <w:rFonts w:ascii="宋体" w:hAnsi="宋体"/>
          <w:sz w:val="22"/>
          <w:szCs w:val="22"/>
        </w:rPr>
      </w:pPr>
      <w:r>
        <w:rPr>
          <w:rFonts w:ascii="宋体" w:hAnsi="宋体" w:hint="eastAsia"/>
          <w:sz w:val="22"/>
          <w:szCs w:val="22"/>
        </w:rPr>
        <w:t>（1）本理财计划余额</w:t>
      </w:r>
      <w:r>
        <w:rPr>
          <w:rFonts w:ascii="宋体" w:hAnsi="宋体"/>
          <w:sz w:val="22"/>
          <w:szCs w:val="22"/>
        </w:rPr>
        <w:t>连续20个工作日低于2亿份</w:t>
      </w:r>
      <w:r>
        <w:rPr>
          <w:rFonts w:ascii="宋体" w:hAnsi="宋体" w:hint="eastAsia"/>
          <w:sz w:val="22"/>
          <w:szCs w:val="22"/>
        </w:rPr>
        <w:t>；</w:t>
      </w:r>
    </w:p>
    <w:p w:rsidR="008319DB" w:rsidRDefault="000D0DF8">
      <w:pPr>
        <w:autoSpaceDE w:val="0"/>
        <w:autoSpaceDN w:val="0"/>
        <w:adjustRightInd w:val="0"/>
        <w:snapToGrid w:val="0"/>
        <w:spacing w:line="300" w:lineRule="auto"/>
        <w:jc w:val="left"/>
        <w:rPr>
          <w:rFonts w:ascii="宋体" w:hAnsi="宋体"/>
          <w:sz w:val="22"/>
          <w:szCs w:val="22"/>
        </w:rPr>
      </w:pPr>
      <w:r>
        <w:rPr>
          <w:rFonts w:ascii="宋体" w:hAnsi="宋体" w:hint="eastAsia"/>
          <w:sz w:val="22"/>
          <w:szCs w:val="22"/>
        </w:rPr>
        <w:t>（2） 如遇国家金融政策出现重大调整或宏观经济形势发生重大变化并影响到本理财计划的正常运作的；</w:t>
      </w:r>
    </w:p>
    <w:p w:rsidR="008319DB" w:rsidRDefault="000D0DF8">
      <w:pPr>
        <w:autoSpaceDE w:val="0"/>
        <w:autoSpaceDN w:val="0"/>
        <w:adjustRightInd w:val="0"/>
        <w:snapToGrid w:val="0"/>
        <w:spacing w:line="300" w:lineRule="auto"/>
        <w:jc w:val="left"/>
        <w:rPr>
          <w:rFonts w:ascii="宋体" w:hAnsi="宋体"/>
          <w:sz w:val="22"/>
          <w:szCs w:val="22"/>
        </w:rPr>
      </w:pPr>
      <w:r>
        <w:rPr>
          <w:rFonts w:ascii="宋体" w:hAnsi="宋体" w:hint="eastAsia"/>
          <w:sz w:val="22"/>
          <w:szCs w:val="22"/>
        </w:rPr>
        <w:t>（3） 因本理财计划投向的金融资产所涉及的相关主体信用恶化，市场利率大幅下滑，招商银行合理判断将影响本理财计划的正常运作的。</w:t>
      </w:r>
    </w:p>
    <w:p w:rsidR="008319DB" w:rsidRDefault="000D0DF8">
      <w:pPr>
        <w:rPr>
          <w:rFonts w:ascii="宋体" w:hAnsi="宋体"/>
          <w:sz w:val="22"/>
          <w:szCs w:val="22"/>
        </w:rPr>
      </w:pPr>
      <w:r>
        <w:rPr>
          <w:rFonts w:ascii="宋体" w:hAnsi="宋体"/>
          <w:sz w:val="22"/>
          <w:szCs w:val="22"/>
        </w:rPr>
        <w:t>2.投资者除可以在约定的赎回申请期内赎回本理财计划外，其他时间内不得赎回。</w:t>
      </w:r>
    </w:p>
    <w:p w:rsidR="008319DB" w:rsidRDefault="000D0DF8">
      <w:pPr>
        <w:rPr>
          <w:rFonts w:ascii="宋体" w:hAnsi="宋体"/>
          <w:sz w:val="22"/>
          <w:szCs w:val="22"/>
        </w:rPr>
      </w:pPr>
      <w:r>
        <w:rPr>
          <w:rFonts w:ascii="宋体" w:hAnsi="宋体"/>
          <w:sz w:val="22"/>
          <w:szCs w:val="22"/>
        </w:rPr>
        <w:t>3.招商银行若提前终止本理财计划，将提前2个工作日以公告形式通知投资者，并在提前终止日后2个工作日内将投资者应得资金划转至投资者指定账户，投资者应得资金计算公式如下：</w:t>
      </w:r>
    </w:p>
    <w:p w:rsidR="008319DB" w:rsidRDefault="000D0DF8">
      <w:pPr>
        <w:rPr>
          <w:rFonts w:ascii="宋体" w:hAnsi="宋体"/>
          <w:b/>
          <w:sz w:val="22"/>
          <w:szCs w:val="22"/>
        </w:rPr>
      </w:pPr>
      <w:r>
        <w:rPr>
          <w:rFonts w:ascii="宋体" w:hAnsi="宋体"/>
          <w:sz w:val="22"/>
          <w:szCs w:val="22"/>
        </w:rPr>
        <w:t xml:space="preserve">   投资者应得资金 = 提前终止日投资者持有理财计划份额× </w:t>
      </w:r>
      <w:r>
        <w:rPr>
          <w:rFonts w:ascii="宋体" w:hAnsi="宋体" w:hint="eastAsia"/>
          <w:sz w:val="22"/>
          <w:szCs w:val="22"/>
        </w:rPr>
        <w:t>1元/份+理财收益</w:t>
      </w:r>
      <w:r>
        <w:rPr>
          <w:rFonts w:ascii="宋体" w:hAnsi="宋体" w:hint="eastAsia"/>
          <w:b/>
          <w:sz w:val="22"/>
          <w:szCs w:val="22"/>
        </w:rPr>
        <w:t>（理财收益可能为零或负）</w:t>
      </w:r>
    </w:p>
    <w:p w:rsidR="008319DB" w:rsidRDefault="008319DB">
      <w:pPr>
        <w:tabs>
          <w:tab w:val="left" w:pos="900"/>
        </w:tabs>
        <w:rPr>
          <w:rFonts w:ascii="宋体" w:hAnsi="宋体" w:cs="Arial"/>
          <w:sz w:val="24"/>
        </w:rPr>
      </w:pPr>
    </w:p>
    <w:p w:rsidR="008319DB" w:rsidRDefault="008319DB">
      <w:pPr>
        <w:tabs>
          <w:tab w:val="left" w:pos="900"/>
        </w:tabs>
        <w:rPr>
          <w:rFonts w:ascii="宋体" w:hAnsi="宋体" w:cs="Arial"/>
          <w:sz w:val="24"/>
        </w:rPr>
      </w:pPr>
    </w:p>
    <w:p w:rsidR="008319DB" w:rsidRDefault="000D0DF8">
      <w:pPr>
        <w:rPr>
          <w:rFonts w:ascii="宋体" w:hAnsi="宋体" w:cs="Arial"/>
          <w:b/>
          <w:sz w:val="24"/>
        </w:rPr>
      </w:pPr>
      <w:r>
        <w:rPr>
          <w:rFonts w:ascii="宋体" w:hAnsi="宋体" w:cs="Arial"/>
          <w:b/>
          <w:sz w:val="24"/>
        </w:rPr>
        <w:t>信息公告</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1.招商银行“一网通”网站（www.cmbchina.com）为公布本理财计划各类信息的唯一指定网站。</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2.本理财计划持续期间内，招商银行有权通过在“一网通”网站（www.cmbchina.com）以及其他信息平台、渠道发布公告的形式，对说明书条款进行补充、说明和修改。调整后的产品说明书一经公告即发生效力，对投资者具有法律约束力，请投资者应定期通过</w:t>
      </w:r>
      <w:r>
        <w:rPr>
          <w:rFonts w:ascii="宋体" w:hAnsi="宋体" w:hint="eastAsia"/>
          <w:b/>
          <w:sz w:val="22"/>
          <w:szCs w:val="22"/>
        </w:rPr>
        <w:lastRenderedPageBreak/>
        <w:t>上述相关渠道获知有关本理财计划相关信息。</w:t>
      </w:r>
    </w:p>
    <w:p w:rsidR="008319DB" w:rsidRDefault="000D0DF8">
      <w:pPr>
        <w:adjustRightInd w:val="0"/>
        <w:snapToGrid w:val="0"/>
        <w:spacing w:line="300" w:lineRule="auto"/>
        <w:rPr>
          <w:rFonts w:ascii="宋体" w:hAnsi="宋体"/>
          <w:sz w:val="22"/>
          <w:szCs w:val="22"/>
        </w:rPr>
      </w:pPr>
      <w:r>
        <w:rPr>
          <w:rFonts w:ascii="宋体" w:hAnsi="宋体" w:hint="eastAsia"/>
          <w:b/>
          <w:sz w:val="22"/>
          <w:szCs w:val="22"/>
        </w:rPr>
        <w:t>3.理财计划延期公告：招商银行有权延长该理财产品期限，如招商银行延长产品期限，推迟产品到期日，将提前2个工作日在“一网通”网站（www.cmbchina.com）上公告的方式通知投资者。</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4.理财计划收益率的公布时间：招商银行每个交易日上午9:30前通过“一网通”网站（www.cmbchina.com）公布上一交易日的理财收益率（年率）（非交易日的理财收益率按照前1个交易日的理财收益率计算）。</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5.如果招商银行宣布提前终止本理财计划，则将提前2个交易日通过在“一网通”网站（www.cmbchina.com）以及其他信息平台、渠道发布公告的形式通知投资者。</w:t>
      </w:r>
    </w:p>
    <w:p w:rsidR="008319DB" w:rsidRDefault="000D0DF8">
      <w:pPr>
        <w:adjustRightInd w:val="0"/>
        <w:snapToGrid w:val="0"/>
        <w:spacing w:line="300" w:lineRule="auto"/>
        <w:rPr>
          <w:rFonts w:ascii="宋体" w:hAnsi="宋体"/>
          <w:sz w:val="22"/>
          <w:szCs w:val="22"/>
        </w:rPr>
      </w:pPr>
      <w:r>
        <w:rPr>
          <w:rFonts w:ascii="宋体" w:hAnsi="宋体" w:hint="eastAsia"/>
          <w:sz w:val="22"/>
          <w:szCs w:val="22"/>
        </w:rPr>
        <w:t>6. 其他招商银行认为对理财计划本金及理财收益有重大影响而需要公布的重要信息，在“一网通”网站（www.cmbchina.com）和各营业网点发布相关信息公告。</w:t>
      </w:r>
    </w:p>
    <w:p w:rsidR="008319DB" w:rsidRDefault="000D0DF8">
      <w:pPr>
        <w:autoSpaceDE w:val="0"/>
        <w:autoSpaceDN w:val="0"/>
        <w:adjustRightInd w:val="0"/>
        <w:snapToGrid w:val="0"/>
        <w:spacing w:line="300" w:lineRule="auto"/>
        <w:jc w:val="left"/>
        <w:rPr>
          <w:rFonts w:ascii="宋体" w:hAnsi="宋体"/>
          <w:b/>
          <w:sz w:val="22"/>
          <w:szCs w:val="22"/>
        </w:rPr>
      </w:pPr>
      <w:r>
        <w:rPr>
          <w:rFonts w:ascii="宋体" w:hAnsi="宋体" w:hint="eastAsia"/>
          <w:b/>
          <w:sz w:val="22"/>
          <w:szCs w:val="22"/>
        </w:rPr>
        <w:t>7. 在本理财产品存续期内可能因市场的重大变化导致投资比例暂时超出投资比例区间，银行将尽合理努力，以客户利益最大化为原则尽快使投资比例恢复至上述规定区间。银行将在“一网通”网站（www.cmbchina.com）公告的方式通知投资者。</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8.在产品存续期内，招商银行对投资范围、投资品种或投资比例进行调整的，将提前2个工作日在“一网通”网站（www.cmbchina.com）上公告的方式通知投资者。</w:t>
      </w:r>
    </w:p>
    <w:p w:rsidR="008319DB" w:rsidRDefault="000D0DF8">
      <w:pPr>
        <w:adjustRightInd w:val="0"/>
        <w:snapToGrid w:val="0"/>
        <w:spacing w:line="300" w:lineRule="auto"/>
        <w:rPr>
          <w:rFonts w:ascii="宋体" w:hAnsi="宋体"/>
          <w:b/>
          <w:sz w:val="22"/>
          <w:szCs w:val="22"/>
        </w:rPr>
      </w:pPr>
      <w:r>
        <w:rPr>
          <w:rFonts w:ascii="宋体" w:hAnsi="宋体" w:hint="eastAsia"/>
          <w:b/>
          <w:sz w:val="22"/>
          <w:szCs w:val="22"/>
        </w:rPr>
        <w:t>9.在产品存续期内，招商银行对收费项目、收费条件、收费标准和收费方式进行调整的，将提前2个工作日在“一网通”网站（www.cmbchina.com）上公告的方式通知投资者。</w:t>
      </w:r>
    </w:p>
    <w:p w:rsidR="008319DB" w:rsidRDefault="000D0DF8">
      <w:pPr>
        <w:rPr>
          <w:rFonts w:ascii="宋体" w:hAnsi="宋体" w:cs="Arial"/>
          <w:b/>
          <w:color w:val="000000"/>
          <w:sz w:val="24"/>
        </w:rPr>
      </w:pPr>
      <w:r>
        <w:rPr>
          <w:rFonts w:ascii="宋体" w:hAnsi="宋体" w:hint="eastAsia"/>
          <w:b/>
          <w:sz w:val="22"/>
          <w:szCs w:val="22"/>
        </w:rPr>
        <w:t>10.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在“一网通”网站（www.cmbchina.com）上公告的方式通知投资者。</w:t>
      </w:r>
    </w:p>
    <w:p w:rsidR="008319DB" w:rsidRDefault="008319DB">
      <w:pPr>
        <w:rPr>
          <w:rFonts w:ascii="宋体" w:hAnsi="宋体" w:cs="Arial"/>
          <w:color w:val="333333"/>
          <w:kern w:val="0"/>
          <w:sz w:val="24"/>
        </w:rPr>
      </w:pPr>
    </w:p>
    <w:p w:rsidR="008319DB" w:rsidRDefault="000D0DF8">
      <w:pPr>
        <w:rPr>
          <w:rFonts w:ascii="宋体" w:hAnsi="宋体" w:cs="Arial"/>
          <w:b/>
          <w:color w:val="333333"/>
          <w:kern w:val="0"/>
          <w:sz w:val="24"/>
        </w:rPr>
      </w:pPr>
      <w:r>
        <w:rPr>
          <w:rFonts w:ascii="宋体" w:hAnsi="宋体" w:cs="Arial"/>
          <w:b/>
          <w:color w:val="333333"/>
          <w:kern w:val="0"/>
          <w:sz w:val="24"/>
        </w:rPr>
        <w:t>相关事项说明</w:t>
      </w:r>
    </w:p>
    <w:p w:rsidR="008319DB" w:rsidRDefault="000D0DF8">
      <w:pPr>
        <w:rPr>
          <w:rFonts w:ascii="宋体" w:hAnsi="宋体"/>
          <w:sz w:val="22"/>
          <w:szCs w:val="22"/>
        </w:rPr>
      </w:pPr>
      <w:r>
        <w:rPr>
          <w:rFonts w:ascii="宋体" w:hAnsi="宋体"/>
          <w:sz w:val="22"/>
          <w:szCs w:val="22"/>
        </w:rPr>
        <w:t>1.受理时间、信息公布的相关时间以招商银行业务处理系统记录的时间为准。</w:t>
      </w:r>
    </w:p>
    <w:p w:rsidR="008319DB" w:rsidRDefault="000D0DF8">
      <w:pPr>
        <w:rPr>
          <w:rFonts w:ascii="宋体" w:hAnsi="宋体"/>
          <w:sz w:val="22"/>
          <w:szCs w:val="22"/>
        </w:rPr>
      </w:pPr>
      <w:r>
        <w:rPr>
          <w:rFonts w:ascii="宋体" w:hAnsi="宋体"/>
          <w:sz w:val="22"/>
          <w:szCs w:val="22"/>
        </w:rPr>
        <w:t>2.如投资者对本理财计划有任何意见</w:t>
      </w:r>
      <w:r>
        <w:rPr>
          <w:rFonts w:ascii="宋体" w:hAnsi="宋体" w:hint="eastAsia"/>
          <w:sz w:val="22"/>
          <w:szCs w:val="22"/>
        </w:rPr>
        <w:t>或建议</w:t>
      </w:r>
      <w:r>
        <w:rPr>
          <w:rFonts w:ascii="宋体" w:hAnsi="宋体"/>
          <w:sz w:val="22"/>
          <w:szCs w:val="22"/>
        </w:rPr>
        <w:t xml:space="preserve">，请联系招商银行的理财经理或反馈至招商银行营业网点，也可致电招商银行全国统一客户服务热线（95555）。 </w:t>
      </w:r>
    </w:p>
    <w:p w:rsidR="008319DB" w:rsidRDefault="000D0DF8" w:rsidP="00042880">
      <w:pPr>
        <w:adjustRightInd w:val="0"/>
        <w:spacing w:afterLines="50"/>
        <w:rPr>
          <w:rFonts w:ascii="宋体" w:hAnsi="宋体"/>
          <w:sz w:val="22"/>
          <w:szCs w:val="22"/>
        </w:rPr>
      </w:pPr>
      <w:r>
        <w:rPr>
          <w:rFonts w:ascii="宋体" w:hAnsi="宋体" w:hint="eastAsia"/>
          <w:sz w:val="22"/>
          <w:szCs w:val="22"/>
        </w:rPr>
        <w:t>3.本理财计划收益率计价采用摊余成本法，即计价对象以买入成本列示，按实际利率并考虑其买入时的溢价与折价，在其剩余存续期内摊销，每日计提损益。本理财计划的债券等资产按摊余成本计算理财计划资产净值。</w:t>
      </w:r>
    </w:p>
    <w:p w:rsidR="008319DB" w:rsidRDefault="000D0DF8">
      <w:pPr>
        <w:adjustRightInd w:val="0"/>
        <w:ind w:firstLineChars="150" w:firstLine="330"/>
        <w:rPr>
          <w:rFonts w:ascii="宋体" w:hAnsi="宋体"/>
          <w:sz w:val="22"/>
          <w:szCs w:val="22"/>
        </w:rPr>
      </w:pPr>
      <w:r>
        <w:rPr>
          <w:rFonts w:ascii="宋体" w:hAnsi="宋体" w:hint="eastAsia"/>
          <w:sz w:val="22"/>
          <w:szCs w:val="22"/>
        </w:rPr>
        <w:t>本理财计划目前投资工具的计价方法：</w:t>
      </w:r>
    </w:p>
    <w:p w:rsidR="008319DB" w:rsidRDefault="000D0DF8">
      <w:pPr>
        <w:adjustRightInd w:val="0"/>
        <w:ind w:firstLineChars="150" w:firstLine="330"/>
        <w:rPr>
          <w:rFonts w:ascii="宋体" w:hAnsi="宋体"/>
          <w:sz w:val="22"/>
          <w:szCs w:val="22"/>
        </w:rPr>
      </w:pPr>
      <w:r>
        <w:rPr>
          <w:rFonts w:ascii="宋体" w:hAnsi="宋体" w:hint="eastAsia"/>
          <w:sz w:val="22"/>
          <w:szCs w:val="22"/>
        </w:rPr>
        <w:t>（1）理财计划持有的债券等资产采用溢折价摊销后的成本列示，按票面利率计提应收利息。</w:t>
      </w:r>
    </w:p>
    <w:p w:rsidR="008319DB" w:rsidRDefault="000D0DF8">
      <w:pPr>
        <w:adjustRightInd w:val="0"/>
        <w:ind w:firstLineChars="150" w:firstLine="330"/>
        <w:rPr>
          <w:rFonts w:ascii="宋体" w:hAnsi="宋体"/>
          <w:sz w:val="22"/>
          <w:szCs w:val="22"/>
        </w:rPr>
      </w:pPr>
      <w:r>
        <w:rPr>
          <w:rFonts w:ascii="宋体" w:hAnsi="宋体" w:hint="eastAsia"/>
          <w:sz w:val="22"/>
          <w:szCs w:val="22"/>
        </w:rPr>
        <w:t>（2）债券回购以成本列示，按协议利率在实际持有期间内逐日计提利息。</w:t>
      </w:r>
    </w:p>
    <w:p w:rsidR="008319DB" w:rsidRDefault="000D0DF8" w:rsidP="00042880">
      <w:pPr>
        <w:adjustRightInd w:val="0"/>
        <w:spacing w:afterLines="50"/>
        <w:ind w:firstLineChars="150" w:firstLine="330"/>
        <w:rPr>
          <w:rFonts w:ascii="宋体" w:hAnsi="宋体"/>
          <w:sz w:val="22"/>
          <w:szCs w:val="22"/>
        </w:rPr>
      </w:pPr>
      <w:r>
        <w:rPr>
          <w:rFonts w:ascii="宋体" w:hAnsi="宋体" w:hint="eastAsia"/>
          <w:sz w:val="22"/>
          <w:szCs w:val="22"/>
        </w:rPr>
        <w:t>（3）银行存款以本金列示，按银行适用利率逐日计提利息。</w:t>
      </w:r>
    </w:p>
    <w:p w:rsidR="007F3DB8" w:rsidRDefault="000D0DF8" w:rsidP="00042880">
      <w:pPr>
        <w:adjustRightInd w:val="0"/>
        <w:spacing w:afterLines="50"/>
        <w:rPr>
          <w:rFonts w:ascii="宋体" w:hAnsi="宋体"/>
          <w:b/>
          <w:sz w:val="22"/>
          <w:szCs w:val="22"/>
        </w:rPr>
      </w:pPr>
      <w:r>
        <w:rPr>
          <w:rFonts w:ascii="宋体" w:hAnsi="宋体" w:hint="eastAsia"/>
          <w:sz w:val="22"/>
          <w:szCs w:val="22"/>
        </w:rPr>
        <w:t>4.</w:t>
      </w:r>
      <w:r>
        <w:rPr>
          <w:rFonts w:ascii="宋体" w:hAnsi="宋体" w:hint="eastAsia"/>
          <w:b/>
          <w:sz w:val="22"/>
          <w:szCs w:val="22"/>
        </w:rPr>
        <w:t>由于按摊余成本法计价可能会出现被计价对象的其他可参考公允价值指标和摊余成本之间的偏离，为消除或减少因理财计划产品份额净值的背离导致理财计划产品份额投资者权益的稀释或其他不公平的结果，在实际操作中，理财计划管理人与理财计划托管人应定期计算投资组合摊余成本与其他可参考公允价值指标之间的偏离程度，并定期测试其他可参考公允价值指标确定方法的有效性。当投资组合的摊余成本与其他可参考公允价值指标产生偏离，招商银行有权按照其它可参考公允价值指标对组合的账面价值进</w:t>
      </w:r>
      <w:r>
        <w:rPr>
          <w:rFonts w:ascii="宋体" w:hAnsi="宋体" w:hint="eastAsia"/>
          <w:b/>
          <w:sz w:val="22"/>
          <w:szCs w:val="22"/>
        </w:rPr>
        <w:lastRenderedPageBreak/>
        <w:t>行调整，使理财计划净值更能公允地反映理财计划资产价值，确保以摊余成本法计算的理财计划资产净值不会对理财计划投资者造成实质性的损害。</w:t>
      </w:r>
    </w:p>
    <w:p w:rsidR="008333A6" w:rsidRDefault="008333A6" w:rsidP="008333A6">
      <w:pPr>
        <w:adjustRightInd w:val="0"/>
        <w:snapToGrid w:val="0"/>
        <w:spacing w:line="300" w:lineRule="auto"/>
        <w:jc w:val="left"/>
        <w:rPr>
          <w:rFonts w:ascii="宋体" w:hAnsi="宋体"/>
          <w:sz w:val="22"/>
          <w:szCs w:val="22"/>
        </w:rPr>
      </w:pPr>
      <w:r>
        <w:rPr>
          <w:rFonts w:ascii="宋体" w:hAnsi="宋体" w:hint="eastAsia"/>
          <w:sz w:val="22"/>
          <w:szCs w:val="22"/>
        </w:rPr>
        <w:t>5．本理财计划说明书于2015年12月3日修订。</w:t>
      </w:r>
    </w:p>
    <w:p w:rsidR="008333A6" w:rsidRPr="008333A6" w:rsidRDefault="008333A6" w:rsidP="00042880">
      <w:pPr>
        <w:adjustRightInd w:val="0"/>
        <w:spacing w:afterLines="50"/>
        <w:rPr>
          <w:rFonts w:ascii="宋体" w:hAnsi="宋体"/>
          <w:b/>
          <w:sz w:val="22"/>
          <w:szCs w:val="22"/>
        </w:rPr>
      </w:pPr>
    </w:p>
    <w:p w:rsidR="008319DB" w:rsidRDefault="008319DB">
      <w:pPr>
        <w:wordWrap w:val="0"/>
        <w:jc w:val="right"/>
        <w:rPr>
          <w:rFonts w:ascii="宋体" w:hAnsi="宋体"/>
          <w:sz w:val="22"/>
          <w:szCs w:val="22"/>
        </w:rPr>
      </w:pPr>
    </w:p>
    <w:sectPr w:rsidR="008319DB" w:rsidSect="008319DB">
      <w:footerReference w:type="even" r:id="rId10"/>
      <w:footerReference w:type="default" r:id="rId11"/>
      <w:pgSz w:w="11906" w:h="16838"/>
      <w:pgMar w:top="1440" w:right="1760" w:bottom="1440" w:left="17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88" w:rsidRDefault="00AF6288" w:rsidP="008319DB">
      <w:r>
        <w:separator/>
      </w:r>
    </w:p>
  </w:endnote>
  <w:endnote w:type="continuationSeparator" w:id="0">
    <w:p w:rsidR="00AF6288" w:rsidRDefault="00AF6288" w:rsidP="00831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6A" w:rsidRDefault="005D6326">
    <w:pPr>
      <w:pStyle w:val="aa"/>
      <w:framePr w:wrap="around" w:vAnchor="text" w:hAnchor="margin" w:xAlign="center" w:y="1"/>
      <w:rPr>
        <w:rStyle w:val="ad"/>
      </w:rPr>
    </w:pPr>
    <w:r>
      <w:fldChar w:fldCharType="begin"/>
    </w:r>
    <w:r w:rsidR="0033546A">
      <w:rPr>
        <w:rStyle w:val="ad"/>
      </w:rPr>
      <w:instrText xml:space="preserve">PAGE  </w:instrText>
    </w:r>
    <w:r>
      <w:fldChar w:fldCharType="end"/>
    </w:r>
  </w:p>
  <w:p w:rsidR="0033546A" w:rsidRDefault="0033546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6A" w:rsidRDefault="005D6326">
    <w:pPr>
      <w:pStyle w:val="aa"/>
      <w:framePr w:wrap="around" w:vAnchor="text" w:hAnchor="margin" w:xAlign="center" w:y="1"/>
      <w:rPr>
        <w:rStyle w:val="ad"/>
      </w:rPr>
    </w:pPr>
    <w:r>
      <w:fldChar w:fldCharType="begin"/>
    </w:r>
    <w:r w:rsidR="0033546A">
      <w:rPr>
        <w:rStyle w:val="ad"/>
      </w:rPr>
      <w:instrText xml:space="preserve">PAGE  </w:instrText>
    </w:r>
    <w:r>
      <w:fldChar w:fldCharType="separate"/>
    </w:r>
    <w:r w:rsidR="00042880">
      <w:rPr>
        <w:rStyle w:val="ad"/>
        <w:noProof/>
      </w:rPr>
      <w:t>6</w:t>
    </w:r>
    <w:r>
      <w:fldChar w:fldCharType="end"/>
    </w:r>
  </w:p>
  <w:p w:rsidR="0033546A" w:rsidRDefault="003354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88" w:rsidRDefault="00AF6288" w:rsidP="008319DB">
      <w:r>
        <w:separator/>
      </w:r>
    </w:p>
  </w:footnote>
  <w:footnote w:type="continuationSeparator" w:id="0">
    <w:p w:rsidR="00AF6288" w:rsidRDefault="00AF6288" w:rsidP="00831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322"/>
    <w:multiLevelType w:val="multilevel"/>
    <w:tmpl w:val="0274432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30E15222"/>
    <w:multiLevelType w:val="multilevel"/>
    <w:tmpl w:val="30E1522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8E7"/>
    <w:rsid w:val="0000266F"/>
    <w:rsid w:val="0000286B"/>
    <w:rsid w:val="00002FDE"/>
    <w:rsid w:val="00003794"/>
    <w:rsid w:val="00004033"/>
    <w:rsid w:val="0000495F"/>
    <w:rsid w:val="000062FD"/>
    <w:rsid w:val="000066D9"/>
    <w:rsid w:val="000105D7"/>
    <w:rsid w:val="000128B9"/>
    <w:rsid w:val="00014709"/>
    <w:rsid w:val="00016675"/>
    <w:rsid w:val="00020C74"/>
    <w:rsid w:val="000224C9"/>
    <w:rsid w:val="000232D7"/>
    <w:rsid w:val="0002334D"/>
    <w:rsid w:val="00024593"/>
    <w:rsid w:val="000251A5"/>
    <w:rsid w:val="00030166"/>
    <w:rsid w:val="000305A6"/>
    <w:rsid w:val="00030B43"/>
    <w:rsid w:val="0003416D"/>
    <w:rsid w:val="000403A0"/>
    <w:rsid w:val="00040B74"/>
    <w:rsid w:val="00042880"/>
    <w:rsid w:val="00043C38"/>
    <w:rsid w:val="00044088"/>
    <w:rsid w:val="0004421C"/>
    <w:rsid w:val="00044420"/>
    <w:rsid w:val="00051CF4"/>
    <w:rsid w:val="00053B0B"/>
    <w:rsid w:val="00057291"/>
    <w:rsid w:val="00060DD7"/>
    <w:rsid w:val="00062FD5"/>
    <w:rsid w:val="000640F4"/>
    <w:rsid w:val="00064768"/>
    <w:rsid w:val="00064D56"/>
    <w:rsid w:val="00065096"/>
    <w:rsid w:val="00065599"/>
    <w:rsid w:val="000676AD"/>
    <w:rsid w:val="00067884"/>
    <w:rsid w:val="00071069"/>
    <w:rsid w:val="0007220F"/>
    <w:rsid w:val="000757C0"/>
    <w:rsid w:val="00085AAF"/>
    <w:rsid w:val="00086E72"/>
    <w:rsid w:val="000918A8"/>
    <w:rsid w:val="000919EE"/>
    <w:rsid w:val="00095463"/>
    <w:rsid w:val="000954B2"/>
    <w:rsid w:val="00097319"/>
    <w:rsid w:val="000A15DC"/>
    <w:rsid w:val="000A2A70"/>
    <w:rsid w:val="000A39BB"/>
    <w:rsid w:val="000A5AFA"/>
    <w:rsid w:val="000B17E2"/>
    <w:rsid w:val="000B20BE"/>
    <w:rsid w:val="000B2768"/>
    <w:rsid w:val="000B2899"/>
    <w:rsid w:val="000B3EB9"/>
    <w:rsid w:val="000B604E"/>
    <w:rsid w:val="000C02C3"/>
    <w:rsid w:val="000C1DD2"/>
    <w:rsid w:val="000C30D8"/>
    <w:rsid w:val="000C39C2"/>
    <w:rsid w:val="000C5355"/>
    <w:rsid w:val="000C788F"/>
    <w:rsid w:val="000D0DF8"/>
    <w:rsid w:val="000D4147"/>
    <w:rsid w:val="000D426D"/>
    <w:rsid w:val="000D738A"/>
    <w:rsid w:val="000E0834"/>
    <w:rsid w:val="000E2C62"/>
    <w:rsid w:val="000E3691"/>
    <w:rsid w:val="000E4A7E"/>
    <w:rsid w:val="000E5F56"/>
    <w:rsid w:val="000E6096"/>
    <w:rsid w:val="000E6222"/>
    <w:rsid w:val="000E6CDC"/>
    <w:rsid w:val="000F0DDC"/>
    <w:rsid w:val="000F2756"/>
    <w:rsid w:val="000F6701"/>
    <w:rsid w:val="000F75D3"/>
    <w:rsid w:val="0010042D"/>
    <w:rsid w:val="0010082C"/>
    <w:rsid w:val="0010226A"/>
    <w:rsid w:val="00105B0D"/>
    <w:rsid w:val="001076AD"/>
    <w:rsid w:val="00111634"/>
    <w:rsid w:val="00115FEA"/>
    <w:rsid w:val="001224DA"/>
    <w:rsid w:val="00122FAB"/>
    <w:rsid w:val="0012358B"/>
    <w:rsid w:val="001252F6"/>
    <w:rsid w:val="00127D41"/>
    <w:rsid w:val="00131E3C"/>
    <w:rsid w:val="00132202"/>
    <w:rsid w:val="001323CA"/>
    <w:rsid w:val="00132654"/>
    <w:rsid w:val="00133152"/>
    <w:rsid w:val="0013479B"/>
    <w:rsid w:val="0013526B"/>
    <w:rsid w:val="00140133"/>
    <w:rsid w:val="001403DD"/>
    <w:rsid w:val="00143361"/>
    <w:rsid w:val="00147A15"/>
    <w:rsid w:val="00150BC7"/>
    <w:rsid w:val="0015307A"/>
    <w:rsid w:val="001557EC"/>
    <w:rsid w:val="00157806"/>
    <w:rsid w:val="00157826"/>
    <w:rsid w:val="00160168"/>
    <w:rsid w:val="00163E5C"/>
    <w:rsid w:val="001667C9"/>
    <w:rsid w:val="00166816"/>
    <w:rsid w:val="00167CE4"/>
    <w:rsid w:val="00170575"/>
    <w:rsid w:val="0017070F"/>
    <w:rsid w:val="0017194A"/>
    <w:rsid w:val="00172ED9"/>
    <w:rsid w:val="001737B1"/>
    <w:rsid w:val="00173A39"/>
    <w:rsid w:val="00175EC9"/>
    <w:rsid w:val="00176162"/>
    <w:rsid w:val="001775F2"/>
    <w:rsid w:val="00177D39"/>
    <w:rsid w:val="001832AB"/>
    <w:rsid w:val="00183B84"/>
    <w:rsid w:val="001844E4"/>
    <w:rsid w:val="00187799"/>
    <w:rsid w:val="00187D66"/>
    <w:rsid w:val="00191381"/>
    <w:rsid w:val="001A3409"/>
    <w:rsid w:val="001A47B9"/>
    <w:rsid w:val="001B097E"/>
    <w:rsid w:val="001B1747"/>
    <w:rsid w:val="001C0352"/>
    <w:rsid w:val="001C2110"/>
    <w:rsid w:val="001C2D0F"/>
    <w:rsid w:val="001C40EF"/>
    <w:rsid w:val="001C79C1"/>
    <w:rsid w:val="001D1374"/>
    <w:rsid w:val="001D2870"/>
    <w:rsid w:val="001D33EC"/>
    <w:rsid w:val="001D45B3"/>
    <w:rsid w:val="001D55B0"/>
    <w:rsid w:val="001D7DD3"/>
    <w:rsid w:val="001E17B1"/>
    <w:rsid w:val="001E18E7"/>
    <w:rsid w:val="001E4980"/>
    <w:rsid w:val="001E4D25"/>
    <w:rsid w:val="001F3B3F"/>
    <w:rsid w:val="00203F09"/>
    <w:rsid w:val="00205E1F"/>
    <w:rsid w:val="00211944"/>
    <w:rsid w:val="00213F10"/>
    <w:rsid w:val="00215A25"/>
    <w:rsid w:val="00216A82"/>
    <w:rsid w:val="0022037E"/>
    <w:rsid w:val="002206AB"/>
    <w:rsid w:val="00221DFE"/>
    <w:rsid w:val="00225202"/>
    <w:rsid w:val="00227E67"/>
    <w:rsid w:val="00234516"/>
    <w:rsid w:val="00235B74"/>
    <w:rsid w:val="00237749"/>
    <w:rsid w:val="00237E3A"/>
    <w:rsid w:val="00240A11"/>
    <w:rsid w:val="00242062"/>
    <w:rsid w:val="0024339F"/>
    <w:rsid w:val="0024497F"/>
    <w:rsid w:val="00247DD8"/>
    <w:rsid w:val="002508B6"/>
    <w:rsid w:val="00251407"/>
    <w:rsid w:val="0025157C"/>
    <w:rsid w:val="0025186A"/>
    <w:rsid w:val="0025215E"/>
    <w:rsid w:val="00253AA5"/>
    <w:rsid w:val="00255AB1"/>
    <w:rsid w:val="00255CFF"/>
    <w:rsid w:val="00264B73"/>
    <w:rsid w:val="002660AE"/>
    <w:rsid w:val="00266775"/>
    <w:rsid w:val="00267388"/>
    <w:rsid w:val="00267BB8"/>
    <w:rsid w:val="00270CE2"/>
    <w:rsid w:val="002721A9"/>
    <w:rsid w:val="00272B64"/>
    <w:rsid w:val="002744EC"/>
    <w:rsid w:val="002763AB"/>
    <w:rsid w:val="00277FE4"/>
    <w:rsid w:val="00280DE6"/>
    <w:rsid w:val="0028152D"/>
    <w:rsid w:val="00283C8F"/>
    <w:rsid w:val="0028493D"/>
    <w:rsid w:val="0028500D"/>
    <w:rsid w:val="00285016"/>
    <w:rsid w:val="00291F9C"/>
    <w:rsid w:val="00292C10"/>
    <w:rsid w:val="002A3964"/>
    <w:rsid w:val="002A4586"/>
    <w:rsid w:val="002A482B"/>
    <w:rsid w:val="002A56AC"/>
    <w:rsid w:val="002A6FB2"/>
    <w:rsid w:val="002B2AD5"/>
    <w:rsid w:val="002B409D"/>
    <w:rsid w:val="002B5B52"/>
    <w:rsid w:val="002B5D2E"/>
    <w:rsid w:val="002C1AA1"/>
    <w:rsid w:val="002C2424"/>
    <w:rsid w:val="002C6090"/>
    <w:rsid w:val="002C6199"/>
    <w:rsid w:val="002C7279"/>
    <w:rsid w:val="002D0B6F"/>
    <w:rsid w:val="002D2732"/>
    <w:rsid w:val="002D2F97"/>
    <w:rsid w:val="002D3879"/>
    <w:rsid w:val="002D517C"/>
    <w:rsid w:val="002D6664"/>
    <w:rsid w:val="002D6DA2"/>
    <w:rsid w:val="002D6EED"/>
    <w:rsid w:val="002E2173"/>
    <w:rsid w:val="002E359D"/>
    <w:rsid w:val="002E3948"/>
    <w:rsid w:val="002E3EFC"/>
    <w:rsid w:val="002E6411"/>
    <w:rsid w:val="002F093F"/>
    <w:rsid w:val="002F1B63"/>
    <w:rsid w:val="002F52BC"/>
    <w:rsid w:val="002F7259"/>
    <w:rsid w:val="00300AEE"/>
    <w:rsid w:val="00300FC9"/>
    <w:rsid w:val="00304752"/>
    <w:rsid w:val="003126DC"/>
    <w:rsid w:val="00312ECE"/>
    <w:rsid w:val="00314634"/>
    <w:rsid w:val="00315994"/>
    <w:rsid w:val="003207C1"/>
    <w:rsid w:val="00322C42"/>
    <w:rsid w:val="00322CF7"/>
    <w:rsid w:val="003236F3"/>
    <w:rsid w:val="00324B5A"/>
    <w:rsid w:val="003309BD"/>
    <w:rsid w:val="0033431C"/>
    <w:rsid w:val="00334B3A"/>
    <w:rsid w:val="0033546A"/>
    <w:rsid w:val="0033570A"/>
    <w:rsid w:val="00336922"/>
    <w:rsid w:val="00342D8E"/>
    <w:rsid w:val="003439B5"/>
    <w:rsid w:val="0034510A"/>
    <w:rsid w:val="003453F5"/>
    <w:rsid w:val="003463BC"/>
    <w:rsid w:val="00346B96"/>
    <w:rsid w:val="00347B8B"/>
    <w:rsid w:val="00347E9D"/>
    <w:rsid w:val="0035322F"/>
    <w:rsid w:val="00355345"/>
    <w:rsid w:val="00355E32"/>
    <w:rsid w:val="0036075B"/>
    <w:rsid w:val="00363BA7"/>
    <w:rsid w:val="00367815"/>
    <w:rsid w:val="00367A83"/>
    <w:rsid w:val="00371966"/>
    <w:rsid w:val="00372607"/>
    <w:rsid w:val="00374143"/>
    <w:rsid w:val="00374598"/>
    <w:rsid w:val="00375DC0"/>
    <w:rsid w:val="0038060D"/>
    <w:rsid w:val="00381CFF"/>
    <w:rsid w:val="00382186"/>
    <w:rsid w:val="003826E2"/>
    <w:rsid w:val="0038338A"/>
    <w:rsid w:val="00386618"/>
    <w:rsid w:val="00387E33"/>
    <w:rsid w:val="00390F34"/>
    <w:rsid w:val="003920D8"/>
    <w:rsid w:val="0039725A"/>
    <w:rsid w:val="003A2077"/>
    <w:rsid w:val="003A20A7"/>
    <w:rsid w:val="003A603C"/>
    <w:rsid w:val="003A6734"/>
    <w:rsid w:val="003B1732"/>
    <w:rsid w:val="003B17FB"/>
    <w:rsid w:val="003B24BF"/>
    <w:rsid w:val="003B6694"/>
    <w:rsid w:val="003B6827"/>
    <w:rsid w:val="003B76FA"/>
    <w:rsid w:val="003C03DA"/>
    <w:rsid w:val="003C160B"/>
    <w:rsid w:val="003C3FD7"/>
    <w:rsid w:val="003C7F4D"/>
    <w:rsid w:val="003D0F16"/>
    <w:rsid w:val="003D2B80"/>
    <w:rsid w:val="003D36DE"/>
    <w:rsid w:val="003E3BAF"/>
    <w:rsid w:val="003E457C"/>
    <w:rsid w:val="003F1083"/>
    <w:rsid w:val="003F6A5D"/>
    <w:rsid w:val="00403C9F"/>
    <w:rsid w:val="004077BE"/>
    <w:rsid w:val="004079B1"/>
    <w:rsid w:val="00415116"/>
    <w:rsid w:val="0041533F"/>
    <w:rsid w:val="00415422"/>
    <w:rsid w:val="004173F3"/>
    <w:rsid w:val="00421BD8"/>
    <w:rsid w:val="004254C5"/>
    <w:rsid w:val="00426D3E"/>
    <w:rsid w:val="004275CC"/>
    <w:rsid w:val="004308F3"/>
    <w:rsid w:val="004315FA"/>
    <w:rsid w:val="004345FB"/>
    <w:rsid w:val="00435DA6"/>
    <w:rsid w:val="0043609B"/>
    <w:rsid w:val="00436443"/>
    <w:rsid w:val="0044208B"/>
    <w:rsid w:val="00442E30"/>
    <w:rsid w:val="0044320D"/>
    <w:rsid w:val="00445BCC"/>
    <w:rsid w:val="00451FD7"/>
    <w:rsid w:val="00452561"/>
    <w:rsid w:val="0045284E"/>
    <w:rsid w:val="0045381F"/>
    <w:rsid w:val="00460B9B"/>
    <w:rsid w:val="00463F54"/>
    <w:rsid w:val="00465DF1"/>
    <w:rsid w:val="00467287"/>
    <w:rsid w:val="004726A4"/>
    <w:rsid w:val="00476AFD"/>
    <w:rsid w:val="00487A3E"/>
    <w:rsid w:val="00491D39"/>
    <w:rsid w:val="00493A8D"/>
    <w:rsid w:val="0049676D"/>
    <w:rsid w:val="004A03F5"/>
    <w:rsid w:val="004A0A44"/>
    <w:rsid w:val="004A1D03"/>
    <w:rsid w:val="004A2DAD"/>
    <w:rsid w:val="004A3457"/>
    <w:rsid w:val="004A3E0C"/>
    <w:rsid w:val="004A4883"/>
    <w:rsid w:val="004A7072"/>
    <w:rsid w:val="004B34CD"/>
    <w:rsid w:val="004B4BD4"/>
    <w:rsid w:val="004B6B13"/>
    <w:rsid w:val="004C0521"/>
    <w:rsid w:val="004C2E64"/>
    <w:rsid w:val="004C480C"/>
    <w:rsid w:val="004C6339"/>
    <w:rsid w:val="004D0F45"/>
    <w:rsid w:val="004D2D45"/>
    <w:rsid w:val="004D631A"/>
    <w:rsid w:val="004D75AB"/>
    <w:rsid w:val="004E2CAD"/>
    <w:rsid w:val="004E2FBD"/>
    <w:rsid w:val="004E555C"/>
    <w:rsid w:val="004E6098"/>
    <w:rsid w:val="004E6F69"/>
    <w:rsid w:val="004F1316"/>
    <w:rsid w:val="004F19E7"/>
    <w:rsid w:val="004F42D1"/>
    <w:rsid w:val="004F68BF"/>
    <w:rsid w:val="004F7EAF"/>
    <w:rsid w:val="005022BF"/>
    <w:rsid w:val="00502B13"/>
    <w:rsid w:val="005055D1"/>
    <w:rsid w:val="00505983"/>
    <w:rsid w:val="00510893"/>
    <w:rsid w:val="00510AEF"/>
    <w:rsid w:val="0051357F"/>
    <w:rsid w:val="00514D49"/>
    <w:rsid w:val="0051592C"/>
    <w:rsid w:val="00520136"/>
    <w:rsid w:val="0052188A"/>
    <w:rsid w:val="00524E08"/>
    <w:rsid w:val="00531E29"/>
    <w:rsid w:val="00534BF7"/>
    <w:rsid w:val="00535E1C"/>
    <w:rsid w:val="00537523"/>
    <w:rsid w:val="005428B3"/>
    <w:rsid w:val="0054494A"/>
    <w:rsid w:val="005449C7"/>
    <w:rsid w:val="005461C6"/>
    <w:rsid w:val="0054655A"/>
    <w:rsid w:val="00546B0A"/>
    <w:rsid w:val="005475C1"/>
    <w:rsid w:val="005569AF"/>
    <w:rsid w:val="005574A1"/>
    <w:rsid w:val="005578D0"/>
    <w:rsid w:val="0056150E"/>
    <w:rsid w:val="00562A35"/>
    <w:rsid w:val="005635B0"/>
    <w:rsid w:val="005640B3"/>
    <w:rsid w:val="00565EF3"/>
    <w:rsid w:val="0056607B"/>
    <w:rsid w:val="00567132"/>
    <w:rsid w:val="00570B97"/>
    <w:rsid w:val="00575336"/>
    <w:rsid w:val="005757EE"/>
    <w:rsid w:val="005761F1"/>
    <w:rsid w:val="00577B18"/>
    <w:rsid w:val="0058406D"/>
    <w:rsid w:val="00585B26"/>
    <w:rsid w:val="0058651B"/>
    <w:rsid w:val="005877F1"/>
    <w:rsid w:val="00590C5B"/>
    <w:rsid w:val="005917E7"/>
    <w:rsid w:val="00593E4F"/>
    <w:rsid w:val="005940A1"/>
    <w:rsid w:val="005979FF"/>
    <w:rsid w:val="005A3316"/>
    <w:rsid w:val="005A5738"/>
    <w:rsid w:val="005A5BA9"/>
    <w:rsid w:val="005A6EF8"/>
    <w:rsid w:val="005B48D5"/>
    <w:rsid w:val="005B572B"/>
    <w:rsid w:val="005B6950"/>
    <w:rsid w:val="005B765F"/>
    <w:rsid w:val="005B79CA"/>
    <w:rsid w:val="005C4BDA"/>
    <w:rsid w:val="005D015B"/>
    <w:rsid w:val="005D0F4A"/>
    <w:rsid w:val="005D5626"/>
    <w:rsid w:val="005D6326"/>
    <w:rsid w:val="005D7CFB"/>
    <w:rsid w:val="005E23FC"/>
    <w:rsid w:val="005E39F7"/>
    <w:rsid w:val="005E591A"/>
    <w:rsid w:val="005E5F78"/>
    <w:rsid w:val="005F0911"/>
    <w:rsid w:val="005F1D05"/>
    <w:rsid w:val="005F5C00"/>
    <w:rsid w:val="005F5D06"/>
    <w:rsid w:val="00600150"/>
    <w:rsid w:val="00602E3B"/>
    <w:rsid w:val="00603321"/>
    <w:rsid w:val="00607A43"/>
    <w:rsid w:val="006112B8"/>
    <w:rsid w:val="00611CF3"/>
    <w:rsid w:val="00612C73"/>
    <w:rsid w:val="00613401"/>
    <w:rsid w:val="00617632"/>
    <w:rsid w:val="00620E4A"/>
    <w:rsid w:val="00625069"/>
    <w:rsid w:val="006268AC"/>
    <w:rsid w:val="00631357"/>
    <w:rsid w:val="006323FD"/>
    <w:rsid w:val="00636827"/>
    <w:rsid w:val="006377F6"/>
    <w:rsid w:val="00641BCB"/>
    <w:rsid w:val="00643360"/>
    <w:rsid w:val="0064345F"/>
    <w:rsid w:val="00644A24"/>
    <w:rsid w:val="00651ADE"/>
    <w:rsid w:val="00651E67"/>
    <w:rsid w:val="0065304A"/>
    <w:rsid w:val="00653C1B"/>
    <w:rsid w:val="00662294"/>
    <w:rsid w:val="00667739"/>
    <w:rsid w:val="006708A6"/>
    <w:rsid w:val="006721C7"/>
    <w:rsid w:val="00672F9A"/>
    <w:rsid w:val="00675868"/>
    <w:rsid w:val="00676962"/>
    <w:rsid w:val="006808BC"/>
    <w:rsid w:val="0068103B"/>
    <w:rsid w:val="006830D0"/>
    <w:rsid w:val="00684884"/>
    <w:rsid w:val="006858A1"/>
    <w:rsid w:val="0069284C"/>
    <w:rsid w:val="00697A87"/>
    <w:rsid w:val="006A2277"/>
    <w:rsid w:val="006A463C"/>
    <w:rsid w:val="006A4F96"/>
    <w:rsid w:val="006A5AE6"/>
    <w:rsid w:val="006A7015"/>
    <w:rsid w:val="006B0B31"/>
    <w:rsid w:val="006B1C4C"/>
    <w:rsid w:val="006B209C"/>
    <w:rsid w:val="006C00FC"/>
    <w:rsid w:val="006C2D45"/>
    <w:rsid w:val="006C38DE"/>
    <w:rsid w:val="006C4C26"/>
    <w:rsid w:val="006C6884"/>
    <w:rsid w:val="006D0941"/>
    <w:rsid w:val="006D14D7"/>
    <w:rsid w:val="006D2BB0"/>
    <w:rsid w:val="006D2E97"/>
    <w:rsid w:val="006D4748"/>
    <w:rsid w:val="006D4ABF"/>
    <w:rsid w:val="006D781A"/>
    <w:rsid w:val="006D79D5"/>
    <w:rsid w:val="006E2AE0"/>
    <w:rsid w:val="006E7283"/>
    <w:rsid w:val="006F563C"/>
    <w:rsid w:val="007012F6"/>
    <w:rsid w:val="007018AD"/>
    <w:rsid w:val="007040A9"/>
    <w:rsid w:val="00704361"/>
    <w:rsid w:val="00704E6E"/>
    <w:rsid w:val="007053CE"/>
    <w:rsid w:val="0070764E"/>
    <w:rsid w:val="00707D5E"/>
    <w:rsid w:val="00710653"/>
    <w:rsid w:val="007125A2"/>
    <w:rsid w:val="00713E81"/>
    <w:rsid w:val="0071575A"/>
    <w:rsid w:val="007161A0"/>
    <w:rsid w:val="00717737"/>
    <w:rsid w:val="007206CE"/>
    <w:rsid w:val="00721049"/>
    <w:rsid w:val="0072605E"/>
    <w:rsid w:val="007277DF"/>
    <w:rsid w:val="00730226"/>
    <w:rsid w:val="0073302E"/>
    <w:rsid w:val="00736541"/>
    <w:rsid w:val="00742AEB"/>
    <w:rsid w:val="00745F30"/>
    <w:rsid w:val="007508FE"/>
    <w:rsid w:val="007524D8"/>
    <w:rsid w:val="00756515"/>
    <w:rsid w:val="00761400"/>
    <w:rsid w:val="00761C8F"/>
    <w:rsid w:val="007639B7"/>
    <w:rsid w:val="007645CF"/>
    <w:rsid w:val="00765927"/>
    <w:rsid w:val="007664C0"/>
    <w:rsid w:val="007705FC"/>
    <w:rsid w:val="00771280"/>
    <w:rsid w:val="00771749"/>
    <w:rsid w:val="00771A9F"/>
    <w:rsid w:val="007769C1"/>
    <w:rsid w:val="00777E75"/>
    <w:rsid w:val="00781156"/>
    <w:rsid w:val="00782609"/>
    <w:rsid w:val="007831AB"/>
    <w:rsid w:val="007833E8"/>
    <w:rsid w:val="0079183F"/>
    <w:rsid w:val="0079719A"/>
    <w:rsid w:val="00797E6B"/>
    <w:rsid w:val="007A1419"/>
    <w:rsid w:val="007A7420"/>
    <w:rsid w:val="007B3162"/>
    <w:rsid w:val="007B445B"/>
    <w:rsid w:val="007B647A"/>
    <w:rsid w:val="007B7C95"/>
    <w:rsid w:val="007C1F23"/>
    <w:rsid w:val="007C33B8"/>
    <w:rsid w:val="007C6031"/>
    <w:rsid w:val="007D0D0C"/>
    <w:rsid w:val="007D135C"/>
    <w:rsid w:val="007D28EF"/>
    <w:rsid w:val="007D714B"/>
    <w:rsid w:val="007D783A"/>
    <w:rsid w:val="007E00BE"/>
    <w:rsid w:val="007E14ED"/>
    <w:rsid w:val="007E1FA6"/>
    <w:rsid w:val="007E48EF"/>
    <w:rsid w:val="007E576A"/>
    <w:rsid w:val="007E5E6B"/>
    <w:rsid w:val="007E70A0"/>
    <w:rsid w:val="007F217A"/>
    <w:rsid w:val="007F3DB8"/>
    <w:rsid w:val="007F4E17"/>
    <w:rsid w:val="007F6C6F"/>
    <w:rsid w:val="0080099D"/>
    <w:rsid w:val="00802507"/>
    <w:rsid w:val="008031C8"/>
    <w:rsid w:val="00812C11"/>
    <w:rsid w:val="0081625D"/>
    <w:rsid w:val="00817421"/>
    <w:rsid w:val="00820971"/>
    <w:rsid w:val="00821AC9"/>
    <w:rsid w:val="008253C8"/>
    <w:rsid w:val="00827C44"/>
    <w:rsid w:val="008319DB"/>
    <w:rsid w:val="00831B26"/>
    <w:rsid w:val="008333A6"/>
    <w:rsid w:val="0083439A"/>
    <w:rsid w:val="0083461D"/>
    <w:rsid w:val="00835285"/>
    <w:rsid w:val="008358E3"/>
    <w:rsid w:val="00837093"/>
    <w:rsid w:val="00841F12"/>
    <w:rsid w:val="008450ED"/>
    <w:rsid w:val="00846B47"/>
    <w:rsid w:val="0085187C"/>
    <w:rsid w:val="00853F4B"/>
    <w:rsid w:val="008542AD"/>
    <w:rsid w:val="00854753"/>
    <w:rsid w:val="00854E01"/>
    <w:rsid w:val="008565DA"/>
    <w:rsid w:val="008573BE"/>
    <w:rsid w:val="008627A2"/>
    <w:rsid w:val="0086389D"/>
    <w:rsid w:val="00870978"/>
    <w:rsid w:val="00872AE1"/>
    <w:rsid w:val="008806ED"/>
    <w:rsid w:val="00881DF6"/>
    <w:rsid w:val="00881F37"/>
    <w:rsid w:val="00884754"/>
    <w:rsid w:val="008855FA"/>
    <w:rsid w:val="00885CCD"/>
    <w:rsid w:val="00887995"/>
    <w:rsid w:val="00892DA7"/>
    <w:rsid w:val="008937E8"/>
    <w:rsid w:val="00895A92"/>
    <w:rsid w:val="008971D2"/>
    <w:rsid w:val="00897B2E"/>
    <w:rsid w:val="008A05A9"/>
    <w:rsid w:val="008A0D0A"/>
    <w:rsid w:val="008A67FA"/>
    <w:rsid w:val="008A685A"/>
    <w:rsid w:val="008A6D7E"/>
    <w:rsid w:val="008A7BFA"/>
    <w:rsid w:val="008A7F34"/>
    <w:rsid w:val="008B1134"/>
    <w:rsid w:val="008B2637"/>
    <w:rsid w:val="008B714F"/>
    <w:rsid w:val="008C021C"/>
    <w:rsid w:val="008C1DAF"/>
    <w:rsid w:val="008C3C37"/>
    <w:rsid w:val="008C3F41"/>
    <w:rsid w:val="008C4CB3"/>
    <w:rsid w:val="008D0050"/>
    <w:rsid w:val="008D068F"/>
    <w:rsid w:val="008D3818"/>
    <w:rsid w:val="008D38C9"/>
    <w:rsid w:val="008D3D3D"/>
    <w:rsid w:val="008D59EE"/>
    <w:rsid w:val="008E1860"/>
    <w:rsid w:val="008E2464"/>
    <w:rsid w:val="008E3512"/>
    <w:rsid w:val="008E42EA"/>
    <w:rsid w:val="008E508A"/>
    <w:rsid w:val="008F1996"/>
    <w:rsid w:val="008F1F28"/>
    <w:rsid w:val="008F5DC9"/>
    <w:rsid w:val="008F5F6B"/>
    <w:rsid w:val="008F617A"/>
    <w:rsid w:val="008F66F0"/>
    <w:rsid w:val="008F7DA2"/>
    <w:rsid w:val="009032C3"/>
    <w:rsid w:val="00903D04"/>
    <w:rsid w:val="00904E34"/>
    <w:rsid w:val="009103B4"/>
    <w:rsid w:val="00910B00"/>
    <w:rsid w:val="00912E42"/>
    <w:rsid w:val="0092033B"/>
    <w:rsid w:val="00921D72"/>
    <w:rsid w:val="00924B0E"/>
    <w:rsid w:val="00925BB9"/>
    <w:rsid w:val="00934591"/>
    <w:rsid w:val="00934833"/>
    <w:rsid w:val="00934EBF"/>
    <w:rsid w:val="00936287"/>
    <w:rsid w:val="00937F82"/>
    <w:rsid w:val="00942330"/>
    <w:rsid w:val="00943B70"/>
    <w:rsid w:val="00945689"/>
    <w:rsid w:val="00946F17"/>
    <w:rsid w:val="00947776"/>
    <w:rsid w:val="00947FC4"/>
    <w:rsid w:val="00950311"/>
    <w:rsid w:val="009503CD"/>
    <w:rsid w:val="009523DF"/>
    <w:rsid w:val="00954246"/>
    <w:rsid w:val="00954280"/>
    <w:rsid w:val="00955C64"/>
    <w:rsid w:val="00955E6B"/>
    <w:rsid w:val="009572EC"/>
    <w:rsid w:val="00960C1F"/>
    <w:rsid w:val="0096247D"/>
    <w:rsid w:val="009639BD"/>
    <w:rsid w:val="00966223"/>
    <w:rsid w:val="00970E6C"/>
    <w:rsid w:val="00981DDA"/>
    <w:rsid w:val="00983AEB"/>
    <w:rsid w:val="009915AC"/>
    <w:rsid w:val="00995591"/>
    <w:rsid w:val="00996E12"/>
    <w:rsid w:val="00997088"/>
    <w:rsid w:val="009979E8"/>
    <w:rsid w:val="009A033F"/>
    <w:rsid w:val="009A0D67"/>
    <w:rsid w:val="009A653C"/>
    <w:rsid w:val="009A65B9"/>
    <w:rsid w:val="009A7732"/>
    <w:rsid w:val="009B2CA6"/>
    <w:rsid w:val="009B33B9"/>
    <w:rsid w:val="009C1EB5"/>
    <w:rsid w:val="009C3184"/>
    <w:rsid w:val="009C3E02"/>
    <w:rsid w:val="009C4B1A"/>
    <w:rsid w:val="009D1253"/>
    <w:rsid w:val="009D43BB"/>
    <w:rsid w:val="009D52A9"/>
    <w:rsid w:val="009D595F"/>
    <w:rsid w:val="009E1D89"/>
    <w:rsid w:val="009F2A6A"/>
    <w:rsid w:val="009F5F26"/>
    <w:rsid w:val="009F75F2"/>
    <w:rsid w:val="009F7DA9"/>
    <w:rsid w:val="00A01E84"/>
    <w:rsid w:val="00A01F35"/>
    <w:rsid w:val="00A02080"/>
    <w:rsid w:val="00A0274F"/>
    <w:rsid w:val="00A02C96"/>
    <w:rsid w:val="00A0432C"/>
    <w:rsid w:val="00A045F4"/>
    <w:rsid w:val="00A0616B"/>
    <w:rsid w:val="00A0630C"/>
    <w:rsid w:val="00A065E4"/>
    <w:rsid w:val="00A079B8"/>
    <w:rsid w:val="00A10BD1"/>
    <w:rsid w:val="00A2090B"/>
    <w:rsid w:val="00A2133B"/>
    <w:rsid w:val="00A25AC1"/>
    <w:rsid w:val="00A26EBC"/>
    <w:rsid w:val="00A26FEE"/>
    <w:rsid w:val="00A307C0"/>
    <w:rsid w:val="00A33BCF"/>
    <w:rsid w:val="00A33C5F"/>
    <w:rsid w:val="00A37CB0"/>
    <w:rsid w:val="00A40A4D"/>
    <w:rsid w:val="00A42ED5"/>
    <w:rsid w:val="00A4468A"/>
    <w:rsid w:val="00A469AB"/>
    <w:rsid w:val="00A51E16"/>
    <w:rsid w:val="00A53BD2"/>
    <w:rsid w:val="00A5492C"/>
    <w:rsid w:val="00A7200C"/>
    <w:rsid w:val="00A7489D"/>
    <w:rsid w:val="00A7554C"/>
    <w:rsid w:val="00A82BEF"/>
    <w:rsid w:val="00A86F98"/>
    <w:rsid w:val="00A92538"/>
    <w:rsid w:val="00A9488A"/>
    <w:rsid w:val="00A96606"/>
    <w:rsid w:val="00A9695B"/>
    <w:rsid w:val="00A96A9B"/>
    <w:rsid w:val="00A978D4"/>
    <w:rsid w:val="00AA638A"/>
    <w:rsid w:val="00AA7943"/>
    <w:rsid w:val="00AB08F2"/>
    <w:rsid w:val="00AB35C1"/>
    <w:rsid w:val="00AB42F3"/>
    <w:rsid w:val="00AB5347"/>
    <w:rsid w:val="00AB540A"/>
    <w:rsid w:val="00AC0D1A"/>
    <w:rsid w:val="00AC2A97"/>
    <w:rsid w:val="00AC565B"/>
    <w:rsid w:val="00AC58B4"/>
    <w:rsid w:val="00AC6145"/>
    <w:rsid w:val="00AC7BCF"/>
    <w:rsid w:val="00AD0F70"/>
    <w:rsid w:val="00AD1879"/>
    <w:rsid w:val="00AD1E00"/>
    <w:rsid w:val="00AD3549"/>
    <w:rsid w:val="00AD526D"/>
    <w:rsid w:val="00AD551A"/>
    <w:rsid w:val="00AE0A06"/>
    <w:rsid w:val="00AE18B6"/>
    <w:rsid w:val="00AE70D7"/>
    <w:rsid w:val="00AE7770"/>
    <w:rsid w:val="00AE7EA0"/>
    <w:rsid w:val="00AF42B8"/>
    <w:rsid w:val="00AF6288"/>
    <w:rsid w:val="00B005BC"/>
    <w:rsid w:val="00B04F3F"/>
    <w:rsid w:val="00B06104"/>
    <w:rsid w:val="00B0664D"/>
    <w:rsid w:val="00B10630"/>
    <w:rsid w:val="00B12267"/>
    <w:rsid w:val="00B12806"/>
    <w:rsid w:val="00B167EE"/>
    <w:rsid w:val="00B17E6D"/>
    <w:rsid w:val="00B17FD0"/>
    <w:rsid w:val="00B22DB2"/>
    <w:rsid w:val="00B2311E"/>
    <w:rsid w:val="00B264F6"/>
    <w:rsid w:val="00B35153"/>
    <w:rsid w:val="00B36024"/>
    <w:rsid w:val="00B41F91"/>
    <w:rsid w:val="00B42ADA"/>
    <w:rsid w:val="00B450F0"/>
    <w:rsid w:val="00B45953"/>
    <w:rsid w:val="00B46F13"/>
    <w:rsid w:val="00B47BFD"/>
    <w:rsid w:val="00B5363E"/>
    <w:rsid w:val="00B54233"/>
    <w:rsid w:val="00B55DF5"/>
    <w:rsid w:val="00B571DE"/>
    <w:rsid w:val="00B57604"/>
    <w:rsid w:val="00B617A9"/>
    <w:rsid w:val="00B62821"/>
    <w:rsid w:val="00B7199D"/>
    <w:rsid w:val="00B724F0"/>
    <w:rsid w:val="00B7475B"/>
    <w:rsid w:val="00B75009"/>
    <w:rsid w:val="00B76047"/>
    <w:rsid w:val="00B81780"/>
    <w:rsid w:val="00B834F5"/>
    <w:rsid w:val="00B8373A"/>
    <w:rsid w:val="00B83B23"/>
    <w:rsid w:val="00B840EA"/>
    <w:rsid w:val="00B86786"/>
    <w:rsid w:val="00B920CF"/>
    <w:rsid w:val="00B92300"/>
    <w:rsid w:val="00B93F73"/>
    <w:rsid w:val="00B97560"/>
    <w:rsid w:val="00BA3161"/>
    <w:rsid w:val="00BA5D0E"/>
    <w:rsid w:val="00BB0507"/>
    <w:rsid w:val="00BB261B"/>
    <w:rsid w:val="00BB3A1D"/>
    <w:rsid w:val="00BB3D71"/>
    <w:rsid w:val="00BC1189"/>
    <w:rsid w:val="00BC11D4"/>
    <w:rsid w:val="00BC17F7"/>
    <w:rsid w:val="00BC2829"/>
    <w:rsid w:val="00BC50AB"/>
    <w:rsid w:val="00BC53F8"/>
    <w:rsid w:val="00BC61E1"/>
    <w:rsid w:val="00BC666A"/>
    <w:rsid w:val="00BC692A"/>
    <w:rsid w:val="00BD0B9B"/>
    <w:rsid w:val="00BD17B7"/>
    <w:rsid w:val="00BD3D47"/>
    <w:rsid w:val="00BD3F98"/>
    <w:rsid w:val="00BD76E5"/>
    <w:rsid w:val="00BD7E2D"/>
    <w:rsid w:val="00BE0453"/>
    <w:rsid w:val="00BE05F9"/>
    <w:rsid w:val="00BE7314"/>
    <w:rsid w:val="00BE7FBB"/>
    <w:rsid w:val="00BF06A4"/>
    <w:rsid w:val="00BF0D43"/>
    <w:rsid w:val="00BF3B17"/>
    <w:rsid w:val="00BF444C"/>
    <w:rsid w:val="00BF7BC9"/>
    <w:rsid w:val="00C014EA"/>
    <w:rsid w:val="00C02E9E"/>
    <w:rsid w:val="00C0647A"/>
    <w:rsid w:val="00C10313"/>
    <w:rsid w:val="00C10AAB"/>
    <w:rsid w:val="00C10E53"/>
    <w:rsid w:val="00C1442B"/>
    <w:rsid w:val="00C21295"/>
    <w:rsid w:val="00C25F96"/>
    <w:rsid w:val="00C32203"/>
    <w:rsid w:val="00C32CB9"/>
    <w:rsid w:val="00C36855"/>
    <w:rsid w:val="00C3725D"/>
    <w:rsid w:val="00C43027"/>
    <w:rsid w:val="00C44733"/>
    <w:rsid w:val="00C4654B"/>
    <w:rsid w:val="00C506E2"/>
    <w:rsid w:val="00C50AC8"/>
    <w:rsid w:val="00C51C18"/>
    <w:rsid w:val="00C543A6"/>
    <w:rsid w:val="00C606FD"/>
    <w:rsid w:val="00C6113E"/>
    <w:rsid w:val="00C62C1A"/>
    <w:rsid w:val="00C67D5B"/>
    <w:rsid w:val="00C74A28"/>
    <w:rsid w:val="00C76160"/>
    <w:rsid w:val="00C77201"/>
    <w:rsid w:val="00C8119A"/>
    <w:rsid w:val="00C8137E"/>
    <w:rsid w:val="00C82927"/>
    <w:rsid w:val="00C85816"/>
    <w:rsid w:val="00C863F8"/>
    <w:rsid w:val="00C87CCC"/>
    <w:rsid w:val="00C9006B"/>
    <w:rsid w:val="00C90249"/>
    <w:rsid w:val="00C90FA7"/>
    <w:rsid w:val="00C92E4E"/>
    <w:rsid w:val="00C92EDA"/>
    <w:rsid w:val="00CA017C"/>
    <w:rsid w:val="00CA3307"/>
    <w:rsid w:val="00CA3F43"/>
    <w:rsid w:val="00CA6653"/>
    <w:rsid w:val="00CA7703"/>
    <w:rsid w:val="00CA7991"/>
    <w:rsid w:val="00CB5FFB"/>
    <w:rsid w:val="00CC1F61"/>
    <w:rsid w:val="00CC31E2"/>
    <w:rsid w:val="00CC3CBB"/>
    <w:rsid w:val="00CC4BA8"/>
    <w:rsid w:val="00CC5CA7"/>
    <w:rsid w:val="00CC75A4"/>
    <w:rsid w:val="00CC7DFE"/>
    <w:rsid w:val="00CD0B99"/>
    <w:rsid w:val="00CD1132"/>
    <w:rsid w:val="00CD1238"/>
    <w:rsid w:val="00CD35AA"/>
    <w:rsid w:val="00CD3B53"/>
    <w:rsid w:val="00CD561C"/>
    <w:rsid w:val="00CD5987"/>
    <w:rsid w:val="00CD69A3"/>
    <w:rsid w:val="00CE3877"/>
    <w:rsid w:val="00CE48BF"/>
    <w:rsid w:val="00CF09B0"/>
    <w:rsid w:val="00CF2812"/>
    <w:rsid w:val="00CF4856"/>
    <w:rsid w:val="00D03F64"/>
    <w:rsid w:val="00D05230"/>
    <w:rsid w:val="00D05D71"/>
    <w:rsid w:val="00D066B7"/>
    <w:rsid w:val="00D10D91"/>
    <w:rsid w:val="00D11529"/>
    <w:rsid w:val="00D11AB8"/>
    <w:rsid w:val="00D12FE0"/>
    <w:rsid w:val="00D14FF6"/>
    <w:rsid w:val="00D175AE"/>
    <w:rsid w:val="00D20986"/>
    <w:rsid w:val="00D20B5C"/>
    <w:rsid w:val="00D219AB"/>
    <w:rsid w:val="00D2376F"/>
    <w:rsid w:val="00D23770"/>
    <w:rsid w:val="00D2722D"/>
    <w:rsid w:val="00D30CF1"/>
    <w:rsid w:val="00D37E49"/>
    <w:rsid w:val="00D41808"/>
    <w:rsid w:val="00D42FB2"/>
    <w:rsid w:val="00D43ED7"/>
    <w:rsid w:val="00D4430F"/>
    <w:rsid w:val="00D443C6"/>
    <w:rsid w:val="00D4515C"/>
    <w:rsid w:val="00D462A6"/>
    <w:rsid w:val="00D46903"/>
    <w:rsid w:val="00D47271"/>
    <w:rsid w:val="00D507A7"/>
    <w:rsid w:val="00D51A44"/>
    <w:rsid w:val="00D52E36"/>
    <w:rsid w:val="00D536D3"/>
    <w:rsid w:val="00D53D8D"/>
    <w:rsid w:val="00D56E36"/>
    <w:rsid w:val="00D60FAB"/>
    <w:rsid w:val="00D61533"/>
    <w:rsid w:val="00D6190F"/>
    <w:rsid w:val="00D625A3"/>
    <w:rsid w:val="00D63365"/>
    <w:rsid w:val="00D656B1"/>
    <w:rsid w:val="00D6754B"/>
    <w:rsid w:val="00D67B21"/>
    <w:rsid w:val="00D75403"/>
    <w:rsid w:val="00D7653C"/>
    <w:rsid w:val="00D77A68"/>
    <w:rsid w:val="00D83360"/>
    <w:rsid w:val="00D83FAB"/>
    <w:rsid w:val="00D91926"/>
    <w:rsid w:val="00D91A0D"/>
    <w:rsid w:val="00D92665"/>
    <w:rsid w:val="00D95A2D"/>
    <w:rsid w:val="00D97C9C"/>
    <w:rsid w:val="00DA0DE5"/>
    <w:rsid w:val="00DA1F0D"/>
    <w:rsid w:val="00DA3CDA"/>
    <w:rsid w:val="00DB041C"/>
    <w:rsid w:val="00DB13F9"/>
    <w:rsid w:val="00DB19ED"/>
    <w:rsid w:val="00DB226E"/>
    <w:rsid w:val="00DB2436"/>
    <w:rsid w:val="00DB53CB"/>
    <w:rsid w:val="00DB5F4E"/>
    <w:rsid w:val="00DC366F"/>
    <w:rsid w:val="00DC4CFC"/>
    <w:rsid w:val="00DC4E9D"/>
    <w:rsid w:val="00DC7B16"/>
    <w:rsid w:val="00DD1467"/>
    <w:rsid w:val="00DD38C4"/>
    <w:rsid w:val="00DD41B9"/>
    <w:rsid w:val="00DD70F0"/>
    <w:rsid w:val="00DE15C9"/>
    <w:rsid w:val="00DE19CE"/>
    <w:rsid w:val="00DE2B7A"/>
    <w:rsid w:val="00DF4BED"/>
    <w:rsid w:val="00DF505F"/>
    <w:rsid w:val="00DF7EFC"/>
    <w:rsid w:val="00E0021C"/>
    <w:rsid w:val="00E01C67"/>
    <w:rsid w:val="00E02084"/>
    <w:rsid w:val="00E02678"/>
    <w:rsid w:val="00E026E8"/>
    <w:rsid w:val="00E02A97"/>
    <w:rsid w:val="00E039B6"/>
    <w:rsid w:val="00E052B0"/>
    <w:rsid w:val="00E075F4"/>
    <w:rsid w:val="00E10E02"/>
    <w:rsid w:val="00E12042"/>
    <w:rsid w:val="00E132AD"/>
    <w:rsid w:val="00E23633"/>
    <w:rsid w:val="00E32169"/>
    <w:rsid w:val="00E334C0"/>
    <w:rsid w:val="00E36457"/>
    <w:rsid w:val="00E404B8"/>
    <w:rsid w:val="00E40F2C"/>
    <w:rsid w:val="00E42EB1"/>
    <w:rsid w:val="00E439C0"/>
    <w:rsid w:val="00E4629B"/>
    <w:rsid w:val="00E46CD8"/>
    <w:rsid w:val="00E47761"/>
    <w:rsid w:val="00E53BF8"/>
    <w:rsid w:val="00E550FE"/>
    <w:rsid w:val="00E5671F"/>
    <w:rsid w:val="00E57C7C"/>
    <w:rsid w:val="00E61311"/>
    <w:rsid w:val="00E63DE4"/>
    <w:rsid w:val="00E66B9A"/>
    <w:rsid w:val="00E66FE2"/>
    <w:rsid w:val="00E70FFE"/>
    <w:rsid w:val="00E711DB"/>
    <w:rsid w:val="00E72D14"/>
    <w:rsid w:val="00E75124"/>
    <w:rsid w:val="00E80836"/>
    <w:rsid w:val="00E81F11"/>
    <w:rsid w:val="00E825EA"/>
    <w:rsid w:val="00E825FA"/>
    <w:rsid w:val="00E829F8"/>
    <w:rsid w:val="00E910F4"/>
    <w:rsid w:val="00E94114"/>
    <w:rsid w:val="00EA1945"/>
    <w:rsid w:val="00EA7C2E"/>
    <w:rsid w:val="00EB774B"/>
    <w:rsid w:val="00EB7EEC"/>
    <w:rsid w:val="00EC1DF0"/>
    <w:rsid w:val="00EC26E7"/>
    <w:rsid w:val="00EC4D74"/>
    <w:rsid w:val="00EC5381"/>
    <w:rsid w:val="00EC5986"/>
    <w:rsid w:val="00ED1584"/>
    <w:rsid w:val="00ED342B"/>
    <w:rsid w:val="00ED4C90"/>
    <w:rsid w:val="00EE3058"/>
    <w:rsid w:val="00EE4654"/>
    <w:rsid w:val="00EF11E9"/>
    <w:rsid w:val="00EF679D"/>
    <w:rsid w:val="00EF68D2"/>
    <w:rsid w:val="00EF6E97"/>
    <w:rsid w:val="00F000A5"/>
    <w:rsid w:val="00F00FD2"/>
    <w:rsid w:val="00F0184A"/>
    <w:rsid w:val="00F02C63"/>
    <w:rsid w:val="00F04CDC"/>
    <w:rsid w:val="00F0624E"/>
    <w:rsid w:val="00F06586"/>
    <w:rsid w:val="00F07053"/>
    <w:rsid w:val="00F15E24"/>
    <w:rsid w:val="00F21018"/>
    <w:rsid w:val="00F2205F"/>
    <w:rsid w:val="00F25690"/>
    <w:rsid w:val="00F256A5"/>
    <w:rsid w:val="00F26E05"/>
    <w:rsid w:val="00F3133F"/>
    <w:rsid w:val="00F316A2"/>
    <w:rsid w:val="00F319DD"/>
    <w:rsid w:val="00F34EB2"/>
    <w:rsid w:val="00F35CBD"/>
    <w:rsid w:val="00F40337"/>
    <w:rsid w:val="00F40757"/>
    <w:rsid w:val="00F415DF"/>
    <w:rsid w:val="00F47920"/>
    <w:rsid w:val="00F505D1"/>
    <w:rsid w:val="00F50E63"/>
    <w:rsid w:val="00F50F0C"/>
    <w:rsid w:val="00F530C0"/>
    <w:rsid w:val="00F57B65"/>
    <w:rsid w:val="00F6042F"/>
    <w:rsid w:val="00F60C52"/>
    <w:rsid w:val="00F6123B"/>
    <w:rsid w:val="00F61644"/>
    <w:rsid w:val="00F64E99"/>
    <w:rsid w:val="00F665A8"/>
    <w:rsid w:val="00F66A7A"/>
    <w:rsid w:val="00F66D35"/>
    <w:rsid w:val="00F67646"/>
    <w:rsid w:val="00F725E2"/>
    <w:rsid w:val="00F72A56"/>
    <w:rsid w:val="00F73CDA"/>
    <w:rsid w:val="00F75E21"/>
    <w:rsid w:val="00F80C2E"/>
    <w:rsid w:val="00F80C38"/>
    <w:rsid w:val="00F80D03"/>
    <w:rsid w:val="00F824A7"/>
    <w:rsid w:val="00F82A0A"/>
    <w:rsid w:val="00F83BCE"/>
    <w:rsid w:val="00F84EEC"/>
    <w:rsid w:val="00F854AE"/>
    <w:rsid w:val="00F85F8A"/>
    <w:rsid w:val="00F87052"/>
    <w:rsid w:val="00F87460"/>
    <w:rsid w:val="00F9134D"/>
    <w:rsid w:val="00F95FF3"/>
    <w:rsid w:val="00F963DF"/>
    <w:rsid w:val="00FA18B4"/>
    <w:rsid w:val="00FA30DA"/>
    <w:rsid w:val="00FA3D25"/>
    <w:rsid w:val="00FA584C"/>
    <w:rsid w:val="00FB159C"/>
    <w:rsid w:val="00FB1DD0"/>
    <w:rsid w:val="00FB25D5"/>
    <w:rsid w:val="00FB2E81"/>
    <w:rsid w:val="00FB6646"/>
    <w:rsid w:val="00FB6E31"/>
    <w:rsid w:val="00FB73DC"/>
    <w:rsid w:val="00FB7F76"/>
    <w:rsid w:val="00FC1823"/>
    <w:rsid w:val="00FC26C8"/>
    <w:rsid w:val="00FC29E5"/>
    <w:rsid w:val="00FC4B0B"/>
    <w:rsid w:val="00FC52FC"/>
    <w:rsid w:val="00FC63C7"/>
    <w:rsid w:val="00FC656D"/>
    <w:rsid w:val="00FC7E5F"/>
    <w:rsid w:val="00FD0FCA"/>
    <w:rsid w:val="00FD20CB"/>
    <w:rsid w:val="00FD2447"/>
    <w:rsid w:val="00FD3508"/>
    <w:rsid w:val="00FE1FC7"/>
    <w:rsid w:val="00FE262B"/>
    <w:rsid w:val="00FE5A66"/>
    <w:rsid w:val="00FE5B06"/>
    <w:rsid w:val="00FF2968"/>
    <w:rsid w:val="00FF328F"/>
    <w:rsid w:val="00FF3C60"/>
    <w:rsid w:val="00FF4652"/>
    <w:rsid w:val="00FF520D"/>
    <w:rsid w:val="00FF65DF"/>
    <w:rsid w:val="00FF670D"/>
    <w:rsid w:val="0FB907E2"/>
    <w:rsid w:val="1BD1213E"/>
    <w:rsid w:val="21306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annotation text" w:semiHidden="1"/>
    <w:lsdException w:name="caption" w:semiHidden="1" w:unhideWhenUsed="1" w:qFormat="1"/>
    <w:lsdException w:name="annotation reference" w:semiHidden="1"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9DB"/>
    <w:pPr>
      <w:widowControl w:val="0"/>
      <w:jc w:val="both"/>
    </w:pPr>
    <w:rPr>
      <w:kern w:val="2"/>
      <w:sz w:val="21"/>
      <w:szCs w:val="24"/>
    </w:rPr>
  </w:style>
  <w:style w:type="paragraph" w:styleId="1">
    <w:name w:val="heading 1"/>
    <w:basedOn w:val="a"/>
    <w:next w:val="a"/>
    <w:qFormat/>
    <w:rsid w:val="008319DB"/>
    <w:pPr>
      <w:keepNext/>
      <w:keepLines/>
      <w:spacing w:before="340" w:after="330" w:line="578" w:lineRule="auto"/>
      <w:outlineLvl w:val="0"/>
    </w:pPr>
    <w:rPr>
      <w:b/>
      <w:bCs/>
      <w:kern w:val="44"/>
      <w:sz w:val="44"/>
      <w:szCs w:val="44"/>
    </w:rPr>
  </w:style>
  <w:style w:type="paragraph" w:styleId="2">
    <w:name w:val="heading 2"/>
    <w:basedOn w:val="a"/>
    <w:next w:val="a0"/>
    <w:qFormat/>
    <w:rsid w:val="008319DB"/>
    <w:pPr>
      <w:keepNext/>
      <w:keepLines/>
      <w:spacing w:before="260" w:after="260" w:line="360" w:lineRule="auto"/>
      <w:ind w:firstLine="288"/>
      <w:jc w:val="center"/>
      <w:outlineLvl w:val="1"/>
    </w:pPr>
    <w:rPr>
      <w:rFonts w:ascii="宋体" w:hAnsi="Arial"/>
      <w:b/>
      <w:bCs/>
      <w:szCs w:val="20"/>
    </w:rPr>
  </w:style>
  <w:style w:type="paragraph" w:styleId="3">
    <w:name w:val="heading 3"/>
    <w:basedOn w:val="a"/>
    <w:next w:val="a"/>
    <w:qFormat/>
    <w:rsid w:val="008319DB"/>
    <w:pPr>
      <w:keepNext/>
      <w:keepLines/>
      <w:spacing w:before="260" w:after="260" w:line="416" w:lineRule="auto"/>
      <w:outlineLvl w:val="2"/>
    </w:pPr>
    <w:rPr>
      <w:b/>
      <w:bCs/>
      <w:sz w:val="32"/>
      <w:szCs w:val="32"/>
    </w:rPr>
  </w:style>
  <w:style w:type="paragraph" w:styleId="4">
    <w:name w:val="heading 4"/>
    <w:basedOn w:val="a"/>
    <w:next w:val="a"/>
    <w:qFormat/>
    <w:rsid w:val="008319DB"/>
    <w:pPr>
      <w:autoSpaceDE w:val="0"/>
      <w:autoSpaceDN w:val="0"/>
      <w:adjustRightInd w:val="0"/>
      <w:jc w:val="left"/>
      <w:outlineLvl w:val="3"/>
    </w:pPr>
    <w:rPr>
      <w:rFonts w:ascii="Tahoma"/>
      <w:color w:val="000000"/>
      <w:kern w:val="0"/>
      <w:sz w:val="24"/>
      <w:lang w:val="zh-CN"/>
    </w:rPr>
  </w:style>
  <w:style w:type="paragraph" w:styleId="5">
    <w:name w:val="heading 5"/>
    <w:basedOn w:val="a"/>
    <w:next w:val="a0"/>
    <w:qFormat/>
    <w:rsid w:val="008319DB"/>
    <w:pPr>
      <w:keepNext/>
      <w:keepLines/>
      <w:spacing w:before="280" w:after="290" w:line="376" w:lineRule="auto"/>
      <w:outlineLvl w:val="4"/>
    </w:pPr>
    <w:rPr>
      <w:b/>
      <w:sz w:val="28"/>
    </w:rPr>
  </w:style>
  <w:style w:type="paragraph" w:styleId="6">
    <w:name w:val="heading 6"/>
    <w:basedOn w:val="a"/>
    <w:next w:val="a"/>
    <w:qFormat/>
    <w:rsid w:val="008319DB"/>
    <w:pPr>
      <w:keepNext/>
      <w:keepLines/>
      <w:spacing w:before="240" w:after="64" w:line="320" w:lineRule="auto"/>
      <w:outlineLvl w:val="5"/>
    </w:pPr>
    <w:rPr>
      <w:rFonts w:ascii="Arial" w:eastAsia="黑体" w:hAnsi="Arial"/>
      <w:b/>
      <w:bCs/>
      <w:sz w:val="24"/>
    </w:rPr>
  </w:style>
  <w:style w:type="paragraph" w:styleId="7">
    <w:name w:val="heading 7"/>
    <w:basedOn w:val="a"/>
    <w:next w:val="a0"/>
    <w:qFormat/>
    <w:rsid w:val="008319DB"/>
    <w:pPr>
      <w:keepNext/>
      <w:keepLines/>
      <w:spacing w:before="240" w:after="64" w:line="320" w:lineRule="auto"/>
      <w:outlineLvl w:val="6"/>
    </w:pPr>
    <w:rPr>
      <w:b/>
      <w:sz w:val="24"/>
    </w:rPr>
  </w:style>
  <w:style w:type="paragraph" w:styleId="8">
    <w:name w:val="heading 8"/>
    <w:basedOn w:val="a"/>
    <w:next w:val="a0"/>
    <w:qFormat/>
    <w:rsid w:val="008319DB"/>
    <w:pPr>
      <w:keepNext/>
      <w:keepLines/>
      <w:spacing w:before="240" w:after="64" w:line="320" w:lineRule="auto"/>
      <w:outlineLvl w:val="7"/>
    </w:pPr>
    <w:rPr>
      <w:rFonts w:ascii="Arial" w:eastAsia="黑体" w:hAnsi="Arial"/>
      <w:sz w:val="24"/>
    </w:rPr>
  </w:style>
  <w:style w:type="paragraph" w:styleId="9">
    <w:name w:val="heading 9"/>
    <w:basedOn w:val="a"/>
    <w:next w:val="a0"/>
    <w:qFormat/>
    <w:rsid w:val="008319DB"/>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319DB"/>
    <w:pPr>
      <w:ind w:firstLineChars="200" w:firstLine="420"/>
    </w:pPr>
  </w:style>
  <w:style w:type="paragraph" w:styleId="a4">
    <w:name w:val="annotation subject"/>
    <w:basedOn w:val="a5"/>
    <w:next w:val="a5"/>
    <w:link w:val="Char"/>
    <w:rsid w:val="008319DB"/>
    <w:rPr>
      <w:b/>
      <w:bCs/>
    </w:rPr>
  </w:style>
  <w:style w:type="paragraph" w:styleId="a5">
    <w:name w:val="annotation text"/>
    <w:basedOn w:val="a"/>
    <w:link w:val="Char0"/>
    <w:semiHidden/>
    <w:rsid w:val="008319DB"/>
    <w:pPr>
      <w:jc w:val="left"/>
    </w:pPr>
  </w:style>
  <w:style w:type="paragraph" w:styleId="a6">
    <w:name w:val="Body Text"/>
    <w:basedOn w:val="a"/>
    <w:link w:val="Char1"/>
    <w:rsid w:val="008319DB"/>
    <w:pPr>
      <w:spacing w:after="120"/>
    </w:pPr>
  </w:style>
  <w:style w:type="paragraph" w:styleId="a7">
    <w:name w:val="Body Text Indent"/>
    <w:basedOn w:val="a"/>
    <w:rsid w:val="008319DB"/>
    <w:pPr>
      <w:adjustRightInd w:val="0"/>
      <w:snapToGrid w:val="0"/>
      <w:ind w:firstLineChars="150" w:firstLine="360"/>
      <w:jc w:val="left"/>
    </w:pPr>
    <w:rPr>
      <w:sz w:val="24"/>
    </w:rPr>
  </w:style>
  <w:style w:type="paragraph" w:styleId="a8">
    <w:name w:val="Plain Text"/>
    <w:basedOn w:val="a"/>
    <w:rsid w:val="008319DB"/>
    <w:pPr>
      <w:adjustRightInd w:val="0"/>
      <w:spacing w:line="312" w:lineRule="atLeast"/>
      <w:textAlignment w:val="baseline"/>
    </w:pPr>
    <w:rPr>
      <w:rFonts w:ascii="宋体" w:hAnsi="Courier New"/>
      <w:kern w:val="0"/>
      <w:szCs w:val="20"/>
    </w:rPr>
  </w:style>
  <w:style w:type="paragraph" w:styleId="a9">
    <w:name w:val="Balloon Text"/>
    <w:basedOn w:val="a"/>
    <w:semiHidden/>
    <w:rsid w:val="008319DB"/>
    <w:rPr>
      <w:sz w:val="18"/>
      <w:szCs w:val="18"/>
    </w:rPr>
  </w:style>
  <w:style w:type="paragraph" w:styleId="aa">
    <w:name w:val="footer"/>
    <w:basedOn w:val="a"/>
    <w:rsid w:val="008319DB"/>
    <w:pPr>
      <w:tabs>
        <w:tab w:val="center" w:pos="4153"/>
        <w:tab w:val="right" w:pos="8306"/>
      </w:tabs>
      <w:snapToGrid w:val="0"/>
      <w:jc w:val="left"/>
    </w:pPr>
    <w:rPr>
      <w:sz w:val="18"/>
      <w:szCs w:val="18"/>
    </w:rPr>
  </w:style>
  <w:style w:type="paragraph" w:styleId="20">
    <w:name w:val="Body Text First Indent 2"/>
    <w:basedOn w:val="a7"/>
    <w:rsid w:val="008319DB"/>
    <w:pPr>
      <w:adjustRightInd/>
      <w:snapToGrid/>
      <w:spacing w:after="120"/>
      <w:ind w:leftChars="200" w:left="420" w:firstLineChars="200" w:firstLine="420"/>
      <w:jc w:val="both"/>
    </w:pPr>
    <w:rPr>
      <w:sz w:val="21"/>
    </w:rPr>
  </w:style>
  <w:style w:type="paragraph" w:styleId="ab">
    <w:name w:val="header"/>
    <w:basedOn w:val="a"/>
    <w:link w:val="Char2"/>
    <w:rsid w:val="008319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8319DB"/>
    <w:pPr>
      <w:autoSpaceDE w:val="0"/>
      <w:autoSpaceDN w:val="0"/>
      <w:adjustRightInd w:val="0"/>
      <w:spacing w:line="312" w:lineRule="auto"/>
    </w:pPr>
    <w:rPr>
      <w:rFonts w:ascii="仿宋_GB2312" w:eastAsia="仿宋_GB2312"/>
      <w:szCs w:val="20"/>
    </w:rPr>
  </w:style>
  <w:style w:type="paragraph" w:styleId="ac">
    <w:name w:val="Normal (Web)"/>
    <w:basedOn w:val="a"/>
    <w:rsid w:val="008319DB"/>
    <w:pPr>
      <w:widowControl/>
      <w:spacing w:before="100" w:beforeAutospacing="1" w:after="100" w:afterAutospacing="1"/>
      <w:jc w:val="left"/>
    </w:pPr>
    <w:rPr>
      <w:rFonts w:ascii="宋体" w:hAnsi="宋体"/>
      <w:kern w:val="0"/>
      <w:sz w:val="24"/>
    </w:rPr>
  </w:style>
  <w:style w:type="character" w:styleId="ad">
    <w:name w:val="page number"/>
    <w:basedOn w:val="a1"/>
    <w:rsid w:val="008319DB"/>
  </w:style>
  <w:style w:type="character" w:styleId="ae">
    <w:name w:val="FollowedHyperlink"/>
    <w:basedOn w:val="a1"/>
    <w:rsid w:val="008319DB"/>
    <w:rPr>
      <w:color w:val="800080"/>
      <w:u w:val="single"/>
    </w:rPr>
  </w:style>
  <w:style w:type="character" w:styleId="af">
    <w:name w:val="Hyperlink"/>
    <w:basedOn w:val="a1"/>
    <w:rsid w:val="008319DB"/>
    <w:rPr>
      <w:color w:val="0000FF"/>
      <w:u w:val="single"/>
    </w:rPr>
  </w:style>
  <w:style w:type="character" w:styleId="af0">
    <w:name w:val="annotation reference"/>
    <w:basedOn w:val="a1"/>
    <w:uiPriority w:val="99"/>
    <w:semiHidden/>
    <w:rsid w:val="008319DB"/>
    <w:rPr>
      <w:sz w:val="21"/>
      <w:szCs w:val="21"/>
    </w:rPr>
  </w:style>
  <w:style w:type="table" w:styleId="af1">
    <w:name w:val="Table Grid"/>
    <w:basedOn w:val="a2"/>
    <w:rsid w:val="00831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rsid w:val="008319DB"/>
    <w:pPr>
      <w:spacing w:after="160" w:line="240" w:lineRule="exact"/>
    </w:pPr>
    <w:rPr>
      <w:rFonts w:ascii="Verdana" w:eastAsia="Times New Roman" w:hAnsi="Verdana"/>
      <w:lang w:eastAsia="en-US"/>
    </w:rPr>
  </w:style>
  <w:style w:type="paragraph" w:customStyle="1" w:styleId="11">
    <w:name w:val="列出段落1"/>
    <w:basedOn w:val="a"/>
    <w:qFormat/>
    <w:rsid w:val="008319DB"/>
    <w:pPr>
      <w:tabs>
        <w:tab w:val="left" w:pos="1980"/>
        <w:tab w:val="left" w:pos="2880"/>
      </w:tabs>
      <w:adjustRightInd w:val="0"/>
      <w:spacing w:line="360" w:lineRule="atLeast"/>
      <w:ind w:left="720" w:hanging="360"/>
      <w:textAlignment w:val="baseline"/>
    </w:pPr>
    <w:rPr>
      <w:rFonts w:ascii="MingLiU" w:eastAsia="MingLiU"/>
      <w:kern w:val="0"/>
      <w:sz w:val="24"/>
      <w:szCs w:val="20"/>
      <w:lang w:eastAsia="zh-TW"/>
    </w:rPr>
  </w:style>
  <w:style w:type="paragraph" w:customStyle="1" w:styleId="GB2312">
    <w:name w:val="正文 + 仿宋_GB2312"/>
    <w:basedOn w:val="a"/>
    <w:rsid w:val="008319DB"/>
    <w:rPr>
      <w:rFonts w:ascii="仿宋_GB2312" w:eastAsia="仿宋_GB2312" w:hAnsi="ˎ̥" w:cs="宋体"/>
      <w:color w:val="333333"/>
      <w:kern w:val="0"/>
      <w:sz w:val="24"/>
    </w:rPr>
  </w:style>
  <w:style w:type="paragraph" w:customStyle="1" w:styleId="CharCharCharCharCharCharCharCharCharCharChar">
    <w:name w:val="Char Char Char Char Char Char Char Char Char Char Char"/>
    <w:rsid w:val="008319DB"/>
    <w:pPr>
      <w:spacing w:after="160" w:line="240" w:lineRule="exact"/>
    </w:pPr>
    <w:rPr>
      <w:rFonts w:ascii="Verdana" w:eastAsia="Times New Roman" w:hAnsi="Verdana"/>
      <w:lang w:eastAsia="en-US"/>
    </w:rPr>
  </w:style>
  <w:style w:type="paragraph" w:customStyle="1" w:styleId="-">
    <w:name w:val="中信研究报告-正文"/>
    <w:rsid w:val="008319DB"/>
    <w:pPr>
      <w:spacing w:before="40" w:after="60" w:line="300" w:lineRule="auto"/>
      <w:ind w:left="2552" w:right="130" w:firstLineChars="200" w:firstLine="420"/>
      <w:jc w:val="both"/>
    </w:pPr>
    <w:rPr>
      <w:rFonts w:ascii="宋体" w:hAnsi="宋体"/>
      <w:bCs/>
      <w:color w:val="333333"/>
      <w:sz w:val="21"/>
      <w:szCs w:val="21"/>
    </w:rPr>
  </w:style>
  <w:style w:type="paragraph" w:customStyle="1" w:styleId="CharCharCharCharCharCharCharCharCharCharCharCharCharCharChar1Char">
    <w:name w:val="Char Char Char Char Char Char Char Char Char Char Char Char Char Char Char1 Char"/>
    <w:rsid w:val="008319DB"/>
    <w:pPr>
      <w:spacing w:after="160" w:line="240" w:lineRule="exact"/>
    </w:pPr>
    <w:rPr>
      <w:rFonts w:ascii="Verdana" w:eastAsia="Times New Roman" w:hAnsi="Verdana"/>
      <w:lang w:eastAsia="en-US"/>
    </w:rPr>
  </w:style>
  <w:style w:type="paragraph" w:customStyle="1" w:styleId="NormalMingLiU">
    <w:name w:val="Normal + MingLiU"/>
    <w:basedOn w:val="a"/>
    <w:rsid w:val="008319DB"/>
    <w:pPr>
      <w:snapToGrid w:val="0"/>
      <w:spacing w:line="312" w:lineRule="auto"/>
    </w:pPr>
    <w:rPr>
      <w:rFonts w:ascii="MingLiU" w:eastAsia="MingLiU" w:hAnsi="MingLiU"/>
      <w:sz w:val="22"/>
      <w:szCs w:val="22"/>
    </w:rPr>
  </w:style>
  <w:style w:type="paragraph" w:customStyle="1" w:styleId="af2">
    <w:name w:val="表格文字"/>
    <w:basedOn w:val="a6"/>
    <w:rsid w:val="008319DB"/>
    <w:pPr>
      <w:spacing w:after="0"/>
      <w:jc w:val="left"/>
    </w:pPr>
    <w:rPr>
      <w:rFonts w:ascii="宋体" w:hAnsi="宋体" w:cs="Arial"/>
      <w:bCs/>
      <w:sz w:val="22"/>
      <w:szCs w:val="20"/>
      <w:lang w:val="zh-CN"/>
    </w:rPr>
  </w:style>
  <w:style w:type="paragraph" w:customStyle="1" w:styleId="af3">
    <w:name w:val="正文所"/>
    <w:basedOn w:val="a"/>
    <w:rsid w:val="008319DB"/>
    <w:pPr>
      <w:spacing w:line="360" w:lineRule="auto"/>
      <w:ind w:firstLineChars="200" w:firstLine="420"/>
    </w:pPr>
    <w:rPr>
      <w:rFonts w:ascii="宋体"/>
      <w:szCs w:val="20"/>
    </w:rPr>
  </w:style>
  <w:style w:type="paragraph" w:customStyle="1" w:styleId="12">
    <w:name w:val="段落1"/>
    <w:basedOn w:val="a"/>
    <w:rsid w:val="008319DB"/>
    <w:pPr>
      <w:spacing w:line="300" w:lineRule="auto"/>
      <w:ind w:firstLine="420"/>
    </w:pPr>
    <w:rPr>
      <w:rFonts w:ascii="宋体" w:hAnsi="宋体"/>
      <w:sz w:val="24"/>
    </w:rPr>
  </w:style>
  <w:style w:type="paragraph" w:customStyle="1" w:styleId="Char3">
    <w:name w:val="Char"/>
    <w:basedOn w:val="a"/>
    <w:rsid w:val="008319DB"/>
    <w:pPr>
      <w:tabs>
        <w:tab w:val="left" w:pos="360"/>
      </w:tabs>
    </w:pPr>
    <w:rPr>
      <w:sz w:val="24"/>
    </w:rPr>
  </w:style>
  <w:style w:type="character" w:customStyle="1" w:styleId="Char0">
    <w:name w:val="批注文字 Char"/>
    <w:basedOn w:val="a1"/>
    <w:link w:val="a5"/>
    <w:uiPriority w:val="99"/>
    <w:semiHidden/>
    <w:rsid w:val="008319DB"/>
    <w:rPr>
      <w:kern w:val="2"/>
      <w:sz w:val="21"/>
      <w:szCs w:val="24"/>
    </w:rPr>
  </w:style>
  <w:style w:type="character" w:customStyle="1" w:styleId="Char2">
    <w:name w:val="页眉 Char"/>
    <w:basedOn w:val="a1"/>
    <w:link w:val="ab"/>
    <w:rsid w:val="008319DB"/>
    <w:rPr>
      <w:kern w:val="2"/>
      <w:sz w:val="18"/>
      <w:szCs w:val="18"/>
    </w:rPr>
  </w:style>
  <w:style w:type="character" w:customStyle="1" w:styleId="Char1">
    <w:name w:val="正文文本 Char"/>
    <w:basedOn w:val="a1"/>
    <w:link w:val="a6"/>
    <w:rsid w:val="008319DB"/>
    <w:rPr>
      <w:kern w:val="2"/>
      <w:sz w:val="21"/>
      <w:szCs w:val="24"/>
    </w:rPr>
  </w:style>
  <w:style w:type="character" w:customStyle="1" w:styleId="NormalMingLiUChar">
    <w:name w:val="Normal + MingLiU Char"/>
    <w:aliases w:val="11 pt Char,Bold Char,Line spacing:  1.5 lines Char"/>
    <w:basedOn w:val="a1"/>
    <w:rsid w:val="008319DB"/>
    <w:rPr>
      <w:rFonts w:ascii="MingLiU" w:eastAsia="MingLiU" w:hAnsi="MingLiU"/>
      <w:kern w:val="2"/>
      <w:sz w:val="22"/>
      <w:szCs w:val="22"/>
      <w:lang w:val="en-US" w:eastAsia="zh-CN" w:bidi="ar-SA"/>
    </w:rPr>
  </w:style>
  <w:style w:type="character" w:customStyle="1" w:styleId="Char">
    <w:name w:val="批注主题 Char"/>
    <w:basedOn w:val="Char0"/>
    <w:link w:val="a4"/>
    <w:rsid w:val="008319DB"/>
    <w:rPr>
      <w:b/>
      <w:bCs/>
    </w:rPr>
  </w:style>
  <w:style w:type="paragraph" w:styleId="af4">
    <w:name w:val="List Paragraph"/>
    <w:basedOn w:val="a"/>
    <w:uiPriority w:val="34"/>
    <w:qFormat/>
    <w:rsid w:val="000224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2075</Words>
  <Characters>11834</Characters>
  <Application>Microsoft Office Word</Application>
  <DocSecurity>0</DocSecurity>
  <Lines>98</Lines>
  <Paragraphs>27</Paragraphs>
  <ScaleCrop>false</ScaleCrop>
  <Company>a</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“金葵花”－－QDII系列之“景顺中国基金“链接票据</dc:title>
  <dc:creator>a</dc:creator>
  <cp:lastModifiedBy>01082570</cp:lastModifiedBy>
  <cp:revision>27</cp:revision>
  <cp:lastPrinted>2012-07-20T01:29:00Z</cp:lastPrinted>
  <dcterms:created xsi:type="dcterms:W3CDTF">2014-12-09T01:45:00Z</dcterms:created>
  <dcterms:modified xsi:type="dcterms:W3CDTF">2015-12-03T05:16:00Z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